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692375" w:rsidRDefault="00FE439F" w:rsidP="00D21527">
      <w:pPr>
        <w:pStyle w:val="papertitle"/>
        <w:spacing w:before="160" w:after="320"/>
      </w:pPr>
      <w:r>
        <w:t>Paper Title (</w:t>
      </w:r>
      <w:r w:rsidR="00D21527">
        <w:t xml:space="preserve">24pt, Times New Roman, </w:t>
      </w:r>
      <w:r>
        <w:t>upper</w:t>
      </w:r>
      <w:r w:rsidR="00962AC7">
        <w:t xml:space="preserve"> case</w:t>
      </w:r>
      <w:r w:rsidR="007D522D">
        <w:t>)</w:t>
      </w:r>
    </w:p>
    <w:p w:rsidR="00692375" w:rsidRPr="00D21527" w:rsidRDefault="007D522D" w:rsidP="00D21527">
      <w:pPr>
        <w:pStyle w:val="papersubtitle"/>
        <w:spacing w:after="320"/>
        <w:rPr>
          <w:i/>
        </w:rPr>
      </w:pPr>
      <w:r w:rsidRPr="00D21527">
        <w:rPr>
          <w:i/>
        </w:rPr>
        <w:t>Subtitle</w:t>
      </w:r>
      <w:r w:rsidR="00FE439F">
        <w:rPr>
          <w:i/>
        </w:rPr>
        <w:t xml:space="preserve"> if needed</w:t>
      </w:r>
      <w:r w:rsidR="00FE439F" w:rsidRPr="00D21527">
        <w:rPr>
          <w:i/>
        </w:rPr>
        <w:t xml:space="preserve"> (</w:t>
      </w:r>
      <w:r w:rsidR="00D21527">
        <w:rPr>
          <w:i/>
          <w:iCs/>
        </w:rPr>
        <w:t xml:space="preserve">14pt, </w:t>
      </w:r>
      <w:r w:rsidR="00962AC7">
        <w:rPr>
          <w:i/>
          <w:iCs/>
        </w:rPr>
        <w:t>Italic,</w:t>
      </w:r>
      <w:r w:rsidR="00962AC7" w:rsidRPr="00D21527">
        <w:rPr>
          <w:i/>
          <w:iCs/>
        </w:rPr>
        <w:t xml:space="preserve"> line</w:t>
      </w:r>
      <w:r w:rsidR="00D21527" w:rsidRPr="00D21527">
        <w:rPr>
          <w:i/>
          <w:iCs/>
        </w:rPr>
        <w:t xml:space="preserve"> spacing: </w:t>
      </w:r>
      <w:r w:rsidR="00872542">
        <w:rPr>
          <w:i/>
          <w:iCs/>
        </w:rPr>
        <w:t>B</w:t>
      </w:r>
      <w:r w:rsidR="00D21527" w:rsidRPr="00D21527">
        <w:rPr>
          <w:i/>
          <w:iCs/>
        </w:rPr>
        <w:t xml:space="preserve">efore:8pt, </w:t>
      </w:r>
      <w:r w:rsidR="001F0D66" w:rsidRPr="00D21527">
        <w:rPr>
          <w:i/>
          <w:iCs/>
        </w:rPr>
        <w:t>after</w:t>
      </w:r>
      <w:r w:rsidR="00D21527" w:rsidRPr="00D21527">
        <w:rPr>
          <w:i/>
          <w:iCs/>
        </w:rPr>
        <w:t>:16pt</w:t>
      </w:r>
      <w:r w:rsidRPr="00D21527">
        <w:rPr>
          <w:i/>
        </w:rPr>
        <w:t>)</w:t>
      </w:r>
    </w:p>
    <w:p w:rsidR="00692375" w:rsidRDefault="00D26A36" w:rsidP="00D21527">
      <w:pPr>
        <w:pStyle w:val="Author"/>
        <w:spacing w:before="160" w:after="80"/>
        <w:rPr>
          <w:rFonts w:eastAsia="Times New Roman"/>
        </w:rPr>
      </w:pPr>
      <w:r w:rsidRPr="00D26A36">
        <w:rPr>
          <w:vertAlign w:val="superscript"/>
        </w:rPr>
        <w:t>1</w:t>
      </w:r>
      <w:r w:rsidR="007D522D">
        <w:t>Name</w:t>
      </w:r>
      <w:r w:rsidR="003659F6">
        <w:t xml:space="preserve"> of 1</w:t>
      </w:r>
      <w:r w:rsidR="003659F6" w:rsidRPr="003659F6">
        <w:rPr>
          <w:vertAlign w:val="superscript"/>
        </w:rPr>
        <w:t>st</w:t>
      </w:r>
      <w:r w:rsidR="003659F6">
        <w:t xml:space="preserve"> Author</w:t>
      </w:r>
      <w:r>
        <w:t>,</w:t>
      </w:r>
      <w:r w:rsidR="001611D6">
        <w:t xml:space="preserve"> </w:t>
      </w:r>
      <w:r w:rsidRPr="00D26A36">
        <w:rPr>
          <w:vertAlign w:val="superscript"/>
        </w:rPr>
        <w:t>2</w:t>
      </w:r>
      <w:r>
        <w:t>Name</w:t>
      </w:r>
      <w:r w:rsidR="003659F6">
        <w:t xml:space="preserve"> of 2</w:t>
      </w:r>
      <w:r w:rsidR="003659F6" w:rsidRPr="003659F6">
        <w:rPr>
          <w:vertAlign w:val="superscript"/>
        </w:rPr>
        <w:t>nd</w:t>
      </w:r>
      <w:r w:rsidR="003659F6">
        <w:t xml:space="preserve"> Author</w:t>
      </w:r>
      <w:r>
        <w:t>,</w:t>
      </w:r>
      <w:r w:rsidR="001611D6">
        <w:t xml:space="preserve"> </w:t>
      </w:r>
      <w:r w:rsidRPr="00D26A36">
        <w:rPr>
          <w:vertAlign w:val="superscript"/>
        </w:rPr>
        <w:t>3</w:t>
      </w:r>
      <w:r>
        <w:t xml:space="preserve">Name </w:t>
      </w:r>
      <w:r w:rsidR="003659F6">
        <w:t>of 3</w:t>
      </w:r>
      <w:r w:rsidR="003659F6" w:rsidRPr="003659F6">
        <w:rPr>
          <w:vertAlign w:val="superscript"/>
        </w:rPr>
        <w:t>rd</w:t>
      </w:r>
      <w:r w:rsidR="003659F6">
        <w:t xml:space="preserve"> Author</w:t>
      </w:r>
    </w:p>
    <w:p w:rsidR="003659F6" w:rsidRDefault="003659F6">
      <w:pPr>
        <w:pStyle w:val="Affiliation"/>
        <w:rPr>
          <w:rFonts w:eastAsia="Times New Roman"/>
        </w:rPr>
      </w:pPr>
      <w:r w:rsidRPr="003659F6">
        <w:rPr>
          <w:rFonts w:eastAsia="Times New Roman"/>
          <w:vertAlign w:val="superscript"/>
        </w:rPr>
        <w:t>1</w:t>
      </w:r>
      <w:r>
        <w:rPr>
          <w:rFonts w:eastAsia="Times New Roman"/>
        </w:rPr>
        <w:t>Designation of 1</w:t>
      </w:r>
      <w:r w:rsidRPr="003659F6">
        <w:rPr>
          <w:rFonts w:eastAsia="Times New Roman"/>
          <w:vertAlign w:val="superscript"/>
        </w:rPr>
        <w:t>st</w:t>
      </w:r>
      <w:r>
        <w:rPr>
          <w:rFonts w:eastAsia="Times New Roman"/>
        </w:rPr>
        <w:t xml:space="preserve"> Author,</w:t>
      </w:r>
      <w:r w:rsidR="001611D6">
        <w:rPr>
          <w:rFonts w:eastAsia="Times New Roman"/>
        </w:rPr>
        <w:t xml:space="preserve"> </w:t>
      </w:r>
      <w:r w:rsidRPr="003659F6">
        <w:rPr>
          <w:rFonts w:eastAsia="Times New Roman"/>
          <w:vertAlign w:val="superscript"/>
        </w:rPr>
        <w:t>2</w:t>
      </w:r>
      <w:r>
        <w:rPr>
          <w:rFonts w:eastAsia="Times New Roman"/>
        </w:rPr>
        <w:t>Designation of 2</w:t>
      </w:r>
      <w:r w:rsidRPr="003659F6">
        <w:rPr>
          <w:rFonts w:eastAsia="Times New Roman"/>
          <w:vertAlign w:val="superscript"/>
        </w:rPr>
        <w:t>nd</w:t>
      </w:r>
      <w:r>
        <w:rPr>
          <w:rFonts w:eastAsia="Times New Roman"/>
        </w:rPr>
        <w:t xml:space="preserve"> Author,</w:t>
      </w:r>
      <w:r w:rsidR="001611D6">
        <w:rPr>
          <w:rFonts w:eastAsia="Times New Roman"/>
        </w:rPr>
        <w:t xml:space="preserve"> </w:t>
      </w:r>
      <w:r w:rsidRPr="003659F6">
        <w:rPr>
          <w:rFonts w:eastAsia="Times New Roman"/>
          <w:vertAlign w:val="superscript"/>
        </w:rPr>
        <w:t>3</w:t>
      </w:r>
      <w:r>
        <w:rPr>
          <w:rFonts w:eastAsia="Times New Roman"/>
        </w:rPr>
        <w:t>Designation of 3</w:t>
      </w:r>
      <w:r w:rsidRPr="003659F6">
        <w:rPr>
          <w:rFonts w:eastAsia="Times New Roman"/>
          <w:vertAlign w:val="superscript"/>
        </w:rPr>
        <w:t>rd</w:t>
      </w:r>
      <w:r>
        <w:rPr>
          <w:rFonts w:eastAsia="Times New Roman"/>
        </w:rPr>
        <w:t xml:space="preserve"> Author</w:t>
      </w:r>
    </w:p>
    <w:p w:rsidR="007079C8" w:rsidRDefault="00F4168E" w:rsidP="00F4168E">
      <w:pPr>
        <w:pStyle w:val="Affiliation"/>
        <w:rPr>
          <w:rFonts w:eastAsia="Times New Roman"/>
        </w:rPr>
      </w:pPr>
      <w:r w:rsidRPr="00F4168E">
        <w:rPr>
          <w:rFonts w:eastAsia="Times New Roman"/>
          <w:vertAlign w:val="superscript"/>
        </w:rPr>
        <w:t>1</w:t>
      </w:r>
      <w:r>
        <w:rPr>
          <w:rFonts w:eastAsia="Times New Roman"/>
        </w:rPr>
        <w:t>Name of Department of 1</w:t>
      </w:r>
      <w:r w:rsidRPr="00F4168E">
        <w:rPr>
          <w:rFonts w:eastAsia="Times New Roman"/>
          <w:vertAlign w:val="superscript"/>
        </w:rPr>
        <w:t>st</w:t>
      </w:r>
      <w:r>
        <w:rPr>
          <w:rFonts w:eastAsia="Times New Roman"/>
        </w:rPr>
        <w:t xml:space="preserve"> Author, </w:t>
      </w:r>
    </w:p>
    <w:p w:rsidR="00692375" w:rsidRDefault="00F4168E" w:rsidP="00F4168E">
      <w:pPr>
        <w:pStyle w:val="Affiliation"/>
      </w:pPr>
      <w:r w:rsidRPr="00F4168E">
        <w:rPr>
          <w:rFonts w:eastAsia="Times New Roman"/>
          <w:vertAlign w:val="superscript"/>
        </w:rPr>
        <w:t>1</w:t>
      </w:r>
      <w:r w:rsidR="007D522D">
        <w:rPr>
          <w:rFonts w:eastAsia="Times New Roman"/>
        </w:rPr>
        <w:t>N</w:t>
      </w:r>
      <w:r w:rsidR="007D522D">
        <w:t>ame</w:t>
      </w:r>
      <w:r w:rsidR="001611D6">
        <w:t xml:space="preserve"> </w:t>
      </w:r>
      <w:r w:rsidR="007D522D">
        <w:t>of</w:t>
      </w:r>
      <w:r w:rsidR="001611D6">
        <w:t xml:space="preserve"> </w:t>
      </w:r>
      <w:r w:rsidR="007D522D">
        <w:t>organization</w:t>
      </w:r>
      <w:r>
        <w:t xml:space="preserve"> of 1</w:t>
      </w:r>
      <w:r w:rsidRPr="00F4168E">
        <w:rPr>
          <w:vertAlign w:val="superscript"/>
        </w:rPr>
        <w:t>st</w:t>
      </w:r>
      <w:r>
        <w:t xml:space="preserve"> Author, </w:t>
      </w:r>
      <w:r w:rsidR="007D522D">
        <w:t>City,</w:t>
      </w:r>
      <w:r w:rsidR="001611D6">
        <w:t xml:space="preserve"> </w:t>
      </w:r>
      <w:r>
        <w:t>Country</w:t>
      </w:r>
    </w:p>
    <w:p w:rsidR="00692375" w:rsidRPr="007079C8" w:rsidRDefault="007079C8" w:rsidP="007079C8">
      <w:pPr>
        <w:jc w:val="both"/>
        <w:rPr>
          <w:sz w:val="18"/>
        </w:rPr>
      </w:pPr>
      <w:r w:rsidRPr="007079C8">
        <w:t>_________________________________________________________________________________________</w:t>
      </w:r>
      <w:r>
        <w:t>_______________</w:t>
      </w:r>
    </w:p>
    <w:p w:rsidR="007079C8" w:rsidRDefault="007079C8" w:rsidP="007079C8">
      <w:pPr>
        <w:pStyle w:val="Abstract"/>
        <w:spacing w:after="0"/>
        <w:ind w:firstLine="0"/>
        <w:rPr>
          <w:i/>
          <w:iCs/>
          <w:sz w:val="20"/>
          <w:szCs w:val="20"/>
        </w:rPr>
      </w:pPr>
    </w:p>
    <w:p w:rsidR="00692375" w:rsidRPr="007079C8" w:rsidRDefault="00962AC7" w:rsidP="007079C8">
      <w:pPr>
        <w:pStyle w:val="Abstract"/>
        <w:spacing w:after="0"/>
        <w:ind w:firstLine="0"/>
        <w:rPr>
          <w:i/>
          <w:sz w:val="20"/>
          <w:szCs w:val="20"/>
        </w:rPr>
      </w:pPr>
      <w:r w:rsidRPr="007079C8">
        <w:rPr>
          <w:i/>
          <w:iCs/>
          <w:sz w:val="20"/>
          <w:szCs w:val="20"/>
        </w:rPr>
        <w:t>Abstract</w:t>
      </w:r>
      <w:r>
        <w:rPr>
          <w:i/>
          <w:iCs/>
          <w:sz w:val="20"/>
          <w:szCs w:val="20"/>
        </w:rPr>
        <w:t>:</w:t>
      </w:r>
      <w:r w:rsidR="001611D6">
        <w:rPr>
          <w:i/>
          <w:iCs/>
          <w:sz w:val="20"/>
          <w:szCs w:val="20"/>
        </w:rPr>
        <w:t xml:space="preserve"> </w:t>
      </w:r>
      <w:r w:rsidR="001611D6" w:rsidRPr="001611D6">
        <w:rPr>
          <w:rFonts w:eastAsia="Calibri"/>
          <w:b w:val="0"/>
          <w:sz w:val="20"/>
          <w:szCs w:val="20"/>
          <w:lang w:eastAsia="en-US"/>
        </w:rPr>
        <w:t xml:space="preserve"> T</w:t>
      </w:r>
      <w:r w:rsidR="001611D6" w:rsidRPr="001611D6">
        <w:rPr>
          <w:rFonts w:eastAsia="Calibri"/>
          <w:b w:val="0"/>
          <w:bCs w:val="0"/>
          <w:sz w:val="20"/>
          <w:szCs w:val="20"/>
          <w:lang w:eastAsia="en-US"/>
        </w:rPr>
        <w:t>his study has been undertaken to investigate the</w:t>
      </w:r>
      <w:r w:rsidR="001611D6" w:rsidRPr="001611D6">
        <w:rPr>
          <w:rFonts w:eastAsia="Calibri"/>
          <w:b w:val="0"/>
          <w:sz w:val="20"/>
          <w:szCs w:val="20"/>
          <w:lang w:eastAsia="en-US"/>
        </w:rPr>
        <w:t xml:space="preserve"> determinants of stock returns in Karachi Stock Exchange (KSE) using two assets pricing models the classical Capital Asset Pricing Model and Arbitrage Pricing Theory model. To test the CAPM market return is used and macroeconomic variables are used to test the APT.</w:t>
      </w:r>
      <w:r w:rsidR="001611D6" w:rsidRPr="001611D6">
        <w:rPr>
          <w:rFonts w:eastAsia="Calibri"/>
          <w:b w:val="0"/>
          <w:bCs w:val="0"/>
          <w:sz w:val="20"/>
          <w:szCs w:val="20"/>
          <w:lang w:eastAsia="en-US"/>
        </w:rPr>
        <w:t xml:space="preserve"> The macroeconomic variables include inflation, oil prices, interest rate and exchange rate. For the very purpose monthly time series data has been arranged from Jan 2010 to Dec 2014. The analytical framework contains</w:t>
      </w:r>
      <w:r w:rsidR="007D522D" w:rsidRPr="007079C8">
        <w:rPr>
          <w:sz w:val="20"/>
          <w:szCs w:val="20"/>
        </w:rPr>
        <w:t>.</w:t>
      </w:r>
    </w:p>
    <w:p w:rsidR="007079C8" w:rsidRDefault="007079C8" w:rsidP="007079C8">
      <w:pPr>
        <w:pStyle w:val="keywords"/>
        <w:spacing w:after="0"/>
        <w:ind w:firstLine="0"/>
        <w:rPr>
          <w:i/>
          <w:sz w:val="20"/>
          <w:szCs w:val="20"/>
        </w:rPr>
      </w:pPr>
    </w:p>
    <w:p w:rsidR="00692375" w:rsidRDefault="00962AC7" w:rsidP="007079C8">
      <w:pPr>
        <w:pStyle w:val="keywords"/>
        <w:spacing w:after="0"/>
        <w:ind w:firstLine="0"/>
        <w:rPr>
          <w:b w:val="0"/>
          <w:bCs w:val="0"/>
          <w:i/>
          <w:sz w:val="20"/>
          <w:szCs w:val="20"/>
        </w:rPr>
      </w:pPr>
      <w:r w:rsidRPr="007079C8">
        <w:rPr>
          <w:i/>
          <w:sz w:val="20"/>
          <w:szCs w:val="20"/>
        </w:rPr>
        <w:t>Index Terms</w:t>
      </w:r>
      <w:r w:rsidR="00092B52">
        <w:rPr>
          <w:rFonts w:eastAsia="Times New Roman"/>
          <w:sz w:val="20"/>
          <w:szCs w:val="20"/>
        </w:rPr>
        <w:t xml:space="preserve"> - </w:t>
      </w:r>
      <w:r w:rsidR="007D522D" w:rsidRPr="007079C8">
        <w:rPr>
          <w:rFonts w:eastAsia="Times New Roman"/>
          <w:sz w:val="20"/>
          <w:szCs w:val="20"/>
        </w:rPr>
        <w:t>C</w:t>
      </w:r>
      <w:r w:rsidR="007D522D" w:rsidRPr="007079C8">
        <w:rPr>
          <w:sz w:val="20"/>
          <w:szCs w:val="20"/>
        </w:rPr>
        <w:t>omponent,</w:t>
      </w:r>
      <w:r>
        <w:rPr>
          <w:sz w:val="20"/>
          <w:szCs w:val="20"/>
        </w:rPr>
        <w:t xml:space="preserve"> </w:t>
      </w:r>
      <w:r w:rsidR="007D522D" w:rsidRPr="007079C8">
        <w:rPr>
          <w:sz w:val="20"/>
          <w:szCs w:val="20"/>
        </w:rPr>
        <w:t>formatting,</w:t>
      </w:r>
      <w:r>
        <w:rPr>
          <w:sz w:val="20"/>
          <w:szCs w:val="20"/>
        </w:rPr>
        <w:t xml:space="preserve"> </w:t>
      </w:r>
      <w:r w:rsidR="007D522D" w:rsidRPr="007079C8">
        <w:rPr>
          <w:sz w:val="20"/>
          <w:szCs w:val="20"/>
        </w:rPr>
        <w:t>style,</w:t>
      </w:r>
      <w:r>
        <w:rPr>
          <w:sz w:val="20"/>
          <w:szCs w:val="20"/>
        </w:rPr>
        <w:t xml:space="preserve"> </w:t>
      </w:r>
      <w:r w:rsidR="007D522D" w:rsidRPr="007079C8">
        <w:rPr>
          <w:sz w:val="20"/>
          <w:szCs w:val="20"/>
        </w:rPr>
        <w:t>styling,</w:t>
      </w:r>
      <w:r>
        <w:rPr>
          <w:sz w:val="20"/>
          <w:szCs w:val="20"/>
        </w:rPr>
        <w:t xml:space="preserve"> </w:t>
      </w:r>
      <w:r w:rsidR="007D522D" w:rsidRPr="007079C8">
        <w:rPr>
          <w:sz w:val="20"/>
          <w:szCs w:val="20"/>
        </w:rPr>
        <w:t>insert.</w:t>
      </w:r>
    </w:p>
    <w:p w:rsidR="007079C8" w:rsidRPr="007079C8" w:rsidRDefault="007079C8" w:rsidP="007079C8">
      <w:pPr>
        <w:pStyle w:val="keywords"/>
        <w:spacing w:after="0"/>
        <w:ind w:firstLine="0"/>
        <w:rPr>
          <w:sz w:val="20"/>
          <w:szCs w:val="20"/>
        </w:rPr>
      </w:pPr>
      <w:r>
        <w:rPr>
          <w:b w:val="0"/>
          <w:bCs w:val="0"/>
          <w:i/>
          <w:sz w:val="20"/>
          <w:szCs w:val="20"/>
        </w:rPr>
        <w:t>________________________________________________________________________________________________________</w:t>
      </w:r>
    </w:p>
    <w:p w:rsidR="00692375" w:rsidRDefault="00092B52" w:rsidP="00782518">
      <w:pPr>
        <w:pStyle w:val="Heading1"/>
        <w:numPr>
          <w:ilvl w:val="0"/>
          <w:numId w:val="1"/>
        </w:numPr>
        <w:jc w:val="left"/>
        <w:rPr>
          <w:b/>
        </w:rPr>
      </w:pPr>
      <w:r>
        <w:rPr>
          <w:b/>
        </w:rPr>
        <w:t>Introduction</w:t>
      </w:r>
    </w:p>
    <w:p w:rsidR="00A9368B" w:rsidRDefault="00A9368B" w:rsidP="00A9368B">
      <w:pPr>
        <w:pStyle w:val="BodyText"/>
        <w:rPr>
          <w:lang w:eastAsia="en-US"/>
        </w:rPr>
      </w:pPr>
    </w:p>
    <w:p w:rsidR="00962AC7" w:rsidRDefault="00962AC7" w:rsidP="00A9368B">
      <w:pPr>
        <w:pStyle w:val="BodyText"/>
        <w:rPr>
          <w:b/>
          <w:sz w:val="24"/>
          <w:lang w:eastAsia="en-US"/>
        </w:rPr>
      </w:pPr>
      <w:r w:rsidRPr="00962AC7">
        <w:rPr>
          <w:b/>
          <w:sz w:val="24"/>
          <w:lang w:eastAsia="en-US"/>
        </w:rPr>
        <w:t xml:space="preserve">This is sample paper format only please use this format and follow this structure as per your requirement </w:t>
      </w:r>
    </w:p>
    <w:p w:rsidR="00962AC7" w:rsidRDefault="00962AC7" w:rsidP="00A9368B">
      <w:pPr>
        <w:pStyle w:val="BodyText"/>
        <w:rPr>
          <w:b/>
          <w:sz w:val="24"/>
          <w:lang w:eastAsia="en-US"/>
        </w:rPr>
      </w:pPr>
    </w:p>
    <w:p w:rsidR="00962AC7" w:rsidRPr="00962AC7" w:rsidRDefault="00962AC7" w:rsidP="00A9368B">
      <w:pPr>
        <w:pStyle w:val="BodyText"/>
        <w:rPr>
          <w:b/>
          <w:sz w:val="24"/>
          <w:lang w:eastAsia="en-US"/>
        </w:rPr>
      </w:pPr>
      <w:r>
        <w:rPr>
          <w:b/>
          <w:sz w:val="24"/>
          <w:lang w:eastAsia="en-US"/>
        </w:rPr>
        <w:t xml:space="preserve">Do not change in header and footer that will set by </w:t>
      </w:r>
      <w:proofErr w:type="spellStart"/>
      <w:r>
        <w:rPr>
          <w:b/>
          <w:sz w:val="24"/>
          <w:lang w:eastAsia="en-US"/>
        </w:rPr>
        <w:t>ijcrt</w:t>
      </w:r>
      <w:proofErr w:type="spellEnd"/>
      <w:r>
        <w:rPr>
          <w:b/>
          <w:sz w:val="24"/>
          <w:lang w:eastAsia="en-US"/>
        </w:rPr>
        <w:t xml:space="preserve"> journal </w:t>
      </w:r>
    </w:p>
    <w:p w:rsidR="00A9368B" w:rsidRDefault="00A9368B" w:rsidP="00A9368B">
      <w:pPr>
        <w:pStyle w:val="BodyText"/>
        <w:ind w:firstLine="0"/>
        <w:rPr>
          <w:lang w:eastAsia="en-US"/>
        </w:rPr>
      </w:pPr>
    </w:p>
    <w:p w:rsidR="00962AC7" w:rsidRPr="00962AC7" w:rsidRDefault="00962AC7" w:rsidP="00A9368B">
      <w:pPr>
        <w:pStyle w:val="BodyText"/>
        <w:ind w:firstLine="0"/>
        <w:rPr>
          <w:b/>
          <w:sz w:val="24"/>
          <w:u w:val="single"/>
          <w:lang w:eastAsia="en-US"/>
        </w:rPr>
      </w:pPr>
      <w:r w:rsidRPr="00962AC7">
        <w:rPr>
          <w:b/>
          <w:sz w:val="24"/>
          <w:u w:val="single"/>
          <w:lang w:eastAsia="en-US"/>
        </w:rPr>
        <w:t xml:space="preserve">Structure Details: </w:t>
      </w:r>
    </w:p>
    <w:p w:rsidR="00A9368B" w:rsidRPr="00A9368B" w:rsidRDefault="00A9368B" w:rsidP="00A9368B">
      <w:pPr>
        <w:shd w:val="clear" w:color="auto" w:fill="FFFFFF"/>
        <w:suppressAutoHyphens w:val="0"/>
        <w:jc w:val="left"/>
        <w:rPr>
          <w:rFonts w:ascii="Arial" w:eastAsia="Times New Roman" w:hAnsi="Arial" w:cs="Arial"/>
          <w:color w:val="222222"/>
          <w:sz w:val="19"/>
          <w:szCs w:val="19"/>
          <w:lang w:eastAsia="en-US"/>
        </w:rPr>
      </w:pPr>
      <w:r w:rsidRPr="00A9368B">
        <w:rPr>
          <w:rFonts w:ascii="Arial" w:eastAsia="Times New Roman" w:hAnsi="Arial" w:cs="Arial"/>
          <w:b/>
          <w:bCs/>
          <w:color w:val="222222"/>
          <w:lang w:val="en-IN" w:eastAsia="en-US"/>
        </w:rPr>
        <w:t>Page size: </w:t>
      </w:r>
      <w:r w:rsidRPr="00A9368B">
        <w:rPr>
          <w:rFonts w:ascii="Arial" w:eastAsia="Times New Roman" w:hAnsi="Arial" w:cs="Arial"/>
          <w:color w:val="222222"/>
          <w:lang w:val="en-IN" w:eastAsia="en-US"/>
        </w:rPr>
        <w:t>A4 size only</w:t>
      </w:r>
    </w:p>
    <w:p w:rsidR="00A9368B" w:rsidRDefault="00A9368B" w:rsidP="00A9368B">
      <w:pPr>
        <w:shd w:val="clear" w:color="auto" w:fill="FFFFFF"/>
        <w:suppressAutoHyphens w:val="0"/>
        <w:jc w:val="left"/>
        <w:rPr>
          <w:rFonts w:ascii="Arial" w:eastAsia="Times New Roman" w:hAnsi="Arial" w:cs="Arial"/>
          <w:color w:val="222222"/>
          <w:lang w:val="en-IN" w:eastAsia="en-US"/>
        </w:rPr>
      </w:pPr>
      <w:r w:rsidRPr="00A9368B">
        <w:rPr>
          <w:rFonts w:ascii="Arial" w:eastAsia="Times New Roman" w:hAnsi="Arial" w:cs="Arial"/>
          <w:b/>
          <w:bCs/>
          <w:color w:val="222222"/>
          <w:lang w:val="en-IN" w:eastAsia="en-US"/>
        </w:rPr>
        <w:t>Text Column</w:t>
      </w:r>
      <w:r w:rsidRPr="00A9368B">
        <w:rPr>
          <w:rFonts w:ascii="Arial" w:eastAsia="Times New Roman" w:hAnsi="Arial" w:cs="Arial"/>
          <w:color w:val="222222"/>
          <w:lang w:val="en-IN" w:eastAsia="en-US"/>
        </w:rPr>
        <w:t>: Single</w:t>
      </w:r>
      <w:r w:rsidR="00237F10">
        <w:rPr>
          <w:rFonts w:ascii="Arial" w:eastAsia="Times New Roman" w:hAnsi="Arial" w:cs="Arial"/>
          <w:color w:val="222222"/>
          <w:lang w:val="en-IN" w:eastAsia="en-US"/>
        </w:rPr>
        <w:t xml:space="preserve"> </w:t>
      </w:r>
      <w:r w:rsidR="00016C60" w:rsidRPr="00016C60">
        <w:rPr>
          <w:rFonts w:ascii="Arial" w:eastAsia="Times New Roman" w:hAnsi="Arial" w:cs="Arial"/>
          <w:b/>
          <w:color w:val="222222"/>
          <w:lang w:val="en-IN" w:eastAsia="en-US"/>
        </w:rPr>
        <w:t>texts align</w:t>
      </w:r>
      <w:r w:rsidR="00016C60">
        <w:rPr>
          <w:rFonts w:ascii="Arial" w:eastAsia="Times New Roman" w:hAnsi="Arial" w:cs="Arial"/>
          <w:b/>
          <w:color w:val="222222"/>
          <w:lang w:val="en-IN" w:eastAsia="en-US"/>
        </w:rPr>
        <w:t xml:space="preserve">: </w:t>
      </w:r>
      <w:r w:rsidR="00237F10" w:rsidRPr="00016C60">
        <w:rPr>
          <w:rFonts w:ascii="Arial" w:eastAsia="Times New Roman" w:hAnsi="Arial" w:cs="Arial"/>
          <w:b/>
          <w:color w:val="222222"/>
          <w:lang w:val="en-IN" w:eastAsia="en-US"/>
        </w:rPr>
        <w:t xml:space="preserve"> </w:t>
      </w:r>
      <w:r w:rsidR="00C804AA" w:rsidRPr="00016C60">
        <w:rPr>
          <w:rFonts w:ascii="Arial" w:eastAsia="Times New Roman" w:hAnsi="Arial" w:cs="Arial"/>
          <w:b/>
          <w:color w:val="222222"/>
          <w:lang w:val="en-IN" w:eastAsia="en-US"/>
        </w:rPr>
        <w:t>justify</w:t>
      </w:r>
    </w:p>
    <w:p w:rsidR="00A9368B" w:rsidRPr="00A9368B" w:rsidRDefault="00A9368B" w:rsidP="00A9368B">
      <w:pPr>
        <w:shd w:val="clear" w:color="auto" w:fill="FFFFFF"/>
        <w:suppressAutoHyphens w:val="0"/>
        <w:jc w:val="left"/>
        <w:rPr>
          <w:rFonts w:ascii="Arial" w:eastAsia="Times New Roman" w:hAnsi="Arial" w:cs="Arial"/>
          <w:b/>
          <w:color w:val="222222"/>
          <w:sz w:val="19"/>
          <w:szCs w:val="19"/>
          <w:lang w:eastAsia="en-US"/>
        </w:rPr>
      </w:pPr>
      <w:r w:rsidRPr="00A9368B">
        <w:rPr>
          <w:rFonts w:ascii="Arial" w:eastAsia="Times New Roman" w:hAnsi="Arial" w:cs="Arial"/>
          <w:b/>
          <w:color w:val="222222"/>
          <w:lang w:val="en-IN" w:eastAsia="en-US"/>
        </w:rPr>
        <w:t xml:space="preserve">Title: </w:t>
      </w:r>
      <w:r>
        <w:rPr>
          <w:rFonts w:ascii="Arial" w:eastAsia="Times New Roman" w:hAnsi="Arial" w:cs="Arial"/>
          <w:b/>
          <w:color w:val="222222"/>
          <w:lang w:val="en-IN" w:eastAsia="en-US"/>
        </w:rPr>
        <w:t xml:space="preserve">24pt </w:t>
      </w:r>
      <w:r w:rsidRPr="00A9368B">
        <w:rPr>
          <w:rFonts w:ascii="Arial" w:eastAsia="Times New Roman" w:hAnsi="Arial" w:cs="Arial"/>
          <w:b/>
          <w:color w:val="222222"/>
          <w:lang w:val="en-IN" w:eastAsia="en-US"/>
        </w:rPr>
        <w:t>Times New Roman</w:t>
      </w:r>
      <w:r w:rsidR="00016C60">
        <w:rPr>
          <w:rFonts w:ascii="Arial" w:eastAsia="Times New Roman" w:hAnsi="Arial" w:cs="Arial"/>
          <w:b/>
          <w:color w:val="222222"/>
          <w:lang w:val="en-IN" w:eastAsia="en-US"/>
        </w:rPr>
        <w:t xml:space="preserve"> </w:t>
      </w:r>
      <w:r w:rsidR="00016C60" w:rsidRPr="00016C60">
        <w:rPr>
          <w:rFonts w:ascii="Arial" w:eastAsia="Times New Roman" w:hAnsi="Arial" w:cs="Arial"/>
          <w:b/>
          <w:color w:val="222222"/>
          <w:lang w:val="en-IN" w:eastAsia="en-US"/>
        </w:rPr>
        <w:t>align</w:t>
      </w:r>
      <w:r w:rsidR="00016C60">
        <w:rPr>
          <w:rFonts w:ascii="Arial" w:eastAsia="Times New Roman" w:hAnsi="Arial" w:cs="Arial"/>
          <w:b/>
          <w:color w:val="222222"/>
          <w:lang w:val="en-IN" w:eastAsia="en-US"/>
        </w:rPr>
        <w:t xml:space="preserve">: </w:t>
      </w:r>
      <w:r w:rsidR="00860DA1">
        <w:rPr>
          <w:rFonts w:ascii="Arial" w:eastAsia="Times New Roman" w:hAnsi="Arial" w:cs="Arial"/>
          <w:b/>
          <w:color w:val="222222"/>
          <w:lang w:val="en-IN" w:eastAsia="en-US"/>
        </w:rPr>
        <w:t>centre</w:t>
      </w:r>
    </w:p>
    <w:p w:rsidR="00A9368B" w:rsidRPr="00A9368B" w:rsidRDefault="00A9368B" w:rsidP="00A9368B">
      <w:pPr>
        <w:shd w:val="clear" w:color="auto" w:fill="FFFFFF"/>
        <w:suppressAutoHyphens w:val="0"/>
        <w:jc w:val="left"/>
        <w:rPr>
          <w:rFonts w:ascii="Arial" w:eastAsia="Times New Roman" w:hAnsi="Arial" w:cs="Arial"/>
          <w:color w:val="222222"/>
          <w:sz w:val="19"/>
          <w:szCs w:val="19"/>
          <w:lang w:eastAsia="en-US"/>
        </w:rPr>
      </w:pPr>
      <w:r w:rsidRPr="00A9368B">
        <w:rPr>
          <w:rFonts w:ascii="Arial" w:eastAsia="Times New Roman" w:hAnsi="Arial" w:cs="Arial"/>
          <w:b/>
          <w:bCs/>
          <w:color w:val="222222"/>
          <w:lang w:val="en-IN" w:eastAsia="en-US"/>
        </w:rPr>
        <w:t>Page Margins:</w:t>
      </w:r>
      <w:r w:rsidRPr="00A9368B">
        <w:rPr>
          <w:rFonts w:ascii="Arial" w:eastAsia="Times New Roman" w:hAnsi="Arial" w:cs="Arial"/>
          <w:color w:val="222222"/>
          <w:lang w:val="en-IN" w:eastAsia="en-US"/>
        </w:rPr>
        <w:t>  Left – 0.51”, Right – 0.51”, Top – 0.75”, Bottom – 0.75”</w:t>
      </w:r>
    </w:p>
    <w:p w:rsidR="00A9368B" w:rsidRPr="00A9368B" w:rsidRDefault="00A9368B" w:rsidP="00A9368B">
      <w:pPr>
        <w:shd w:val="clear" w:color="auto" w:fill="FFFFFF"/>
        <w:suppressAutoHyphens w:val="0"/>
        <w:jc w:val="left"/>
        <w:rPr>
          <w:rFonts w:ascii="Arial" w:eastAsia="Times New Roman" w:hAnsi="Arial" w:cs="Arial"/>
          <w:color w:val="222222"/>
          <w:sz w:val="19"/>
          <w:szCs w:val="19"/>
          <w:lang w:eastAsia="en-US"/>
        </w:rPr>
      </w:pPr>
      <w:r w:rsidRPr="00A9368B">
        <w:rPr>
          <w:rFonts w:ascii="Arial" w:eastAsia="Times New Roman" w:hAnsi="Arial" w:cs="Arial"/>
          <w:b/>
          <w:bCs/>
          <w:color w:val="222222"/>
          <w:lang w:val="en-IN" w:eastAsia="en-US"/>
        </w:rPr>
        <w:t>Font:</w:t>
      </w:r>
      <w:r w:rsidRPr="00A9368B">
        <w:rPr>
          <w:rFonts w:ascii="Arial" w:eastAsia="Times New Roman" w:hAnsi="Arial" w:cs="Arial"/>
          <w:color w:val="222222"/>
          <w:lang w:val="en-IN" w:eastAsia="en-US"/>
        </w:rPr>
        <w:t> Use Only Times New Roman for whole paper</w:t>
      </w:r>
    </w:p>
    <w:p w:rsidR="00A9368B" w:rsidRPr="00A9368B" w:rsidRDefault="00A9368B" w:rsidP="00A9368B">
      <w:pPr>
        <w:shd w:val="clear" w:color="auto" w:fill="FFFFFF"/>
        <w:suppressAutoHyphens w:val="0"/>
        <w:jc w:val="left"/>
        <w:rPr>
          <w:rFonts w:ascii="Arial" w:eastAsia="Times New Roman" w:hAnsi="Arial" w:cs="Arial"/>
          <w:color w:val="222222"/>
          <w:sz w:val="19"/>
          <w:szCs w:val="19"/>
          <w:lang w:eastAsia="en-US"/>
        </w:rPr>
      </w:pPr>
      <w:r w:rsidRPr="00A9368B">
        <w:rPr>
          <w:rFonts w:ascii="Arial" w:eastAsia="Times New Roman" w:hAnsi="Arial" w:cs="Arial"/>
          <w:b/>
          <w:bCs/>
          <w:color w:val="222222"/>
          <w:lang w:val="en-IN" w:eastAsia="en-US"/>
        </w:rPr>
        <w:t>Figure caption:</w:t>
      </w:r>
      <w:r w:rsidRPr="00A9368B">
        <w:rPr>
          <w:rFonts w:ascii="Arial" w:eastAsia="Times New Roman" w:hAnsi="Arial" w:cs="Arial"/>
          <w:color w:val="222222"/>
          <w:lang w:val="en-IN" w:eastAsia="en-US"/>
        </w:rPr>
        <w:t> Font size- 10”, lower case and Write below the figure, position-</w:t>
      </w:r>
      <w:proofErr w:type="spellStart"/>
      <w:r w:rsidRPr="00A9368B">
        <w:rPr>
          <w:rFonts w:ascii="Arial" w:eastAsia="Times New Roman" w:hAnsi="Arial" w:cs="Arial"/>
          <w:color w:val="222222"/>
          <w:lang w:val="en-IN" w:eastAsia="en-US"/>
        </w:rPr>
        <w:t>center</w:t>
      </w:r>
      <w:proofErr w:type="spellEnd"/>
    </w:p>
    <w:p w:rsidR="00A9368B" w:rsidRPr="00A9368B" w:rsidRDefault="00A9368B" w:rsidP="00A9368B">
      <w:pPr>
        <w:shd w:val="clear" w:color="auto" w:fill="FFFFFF"/>
        <w:suppressAutoHyphens w:val="0"/>
        <w:jc w:val="left"/>
        <w:rPr>
          <w:rFonts w:ascii="Arial" w:eastAsia="Times New Roman" w:hAnsi="Arial" w:cs="Arial"/>
          <w:color w:val="222222"/>
          <w:sz w:val="19"/>
          <w:szCs w:val="19"/>
          <w:lang w:eastAsia="en-US"/>
        </w:rPr>
      </w:pPr>
      <w:r w:rsidRPr="00A9368B">
        <w:rPr>
          <w:rFonts w:ascii="Arial" w:eastAsia="Times New Roman" w:hAnsi="Arial" w:cs="Arial"/>
          <w:b/>
          <w:bCs/>
          <w:color w:val="222222"/>
          <w:lang w:val="en-IN" w:eastAsia="en-US"/>
        </w:rPr>
        <w:t>Table Caption:</w:t>
      </w:r>
      <w:r w:rsidRPr="00A9368B">
        <w:rPr>
          <w:rFonts w:ascii="Arial" w:eastAsia="Times New Roman" w:hAnsi="Arial" w:cs="Arial"/>
          <w:color w:val="222222"/>
          <w:lang w:val="en-IN" w:eastAsia="en-US"/>
        </w:rPr>
        <w:t>  Font- 10”, lower case and Top of the table, position-</w:t>
      </w:r>
      <w:proofErr w:type="spellStart"/>
      <w:r w:rsidRPr="00A9368B">
        <w:rPr>
          <w:rFonts w:ascii="Arial" w:eastAsia="Times New Roman" w:hAnsi="Arial" w:cs="Arial"/>
          <w:color w:val="222222"/>
          <w:lang w:val="en-IN" w:eastAsia="en-US"/>
        </w:rPr>
        <w:t>center</w:t>
      </w:r>
      <w:proofErr w:type="spellEnd"/>
    </w:p>
    <w:p w:rsidR="00A9368B" w:rsidRPr="00A9368B" w:rsidRDefault="00A9368B" w:rsidP="00A9368B">
      <w:pPr>
        <w:shd w:val="clear" w:color="auto" w:fill="FFFFFF"/>
        <w:suppressAutoHyphens w:val="0"/>
        <w:jc w:val="left"/>
        <w:rPr>
          <w:rFonts w:ascii="Arial" w:eastAsia="Times New Roman" w:hAnsi="Arial" w:cs="Arial"/>
          <w:color w:val="222222"/>
          <w:sz w:val="19"/>
          <w:szCs w:val="19"/>
          <w:lang w:eastAsia="en-US"/>
        </w:rPr>
      </w:pPr>
      <w:r w:rsidRPr="00A9368B">
        <w:rPr>
          <w:rFonts w:ascii="Arial" w:eastAsia="Times New Roman" w:hAnsi="Arial" w:cs="Arial"/>
          <w:b/>
          <w:bCs/>
          <w:color w:val="222222"/>
          <w:lang w:val="en-IN" w:eastAsia="en-US"/>
        </w:rPr>
        <w:t>Paragraph:</w:t>
      </w:r>
      <w:r w:rsidRPr="00A9368B">
        <w:rPr>
          <w:rFonts w:ascii="Arial" w:eastAsia="Times New Roman" w:hAnsi="Arial" w:cs="Arial"/>
          <w:color w:val="222222"/>
          <w:lang w:val="en-IN" w:eastAsia="en-US"/>
        </w:rPr>
        <w:t> Paragraph Indentation by- 0.2”</w:t>
      </w:r>
    </w:p>
    <w:p w:rsidR="00A9368B" w:rsidRPr="00A9368B" w:rsidRDefault="00A9368B" w:rsidP="00A9368B">
      <w:pPr>
        <w:shd w:val="clear" w:color="auto" w:fill="FFFFFF"/>
        <w:suppressAutoHyphens w:val="0"/>
        <w:jc w:val="left"/>
        <w:rPr>
          <w:rFonts w:ascii="Arial" w:eastAsia="Times New Roman" w:hAnsi="Arial" w:cs="Arial"/>
          <w:color w:val="222222"/>
          <w:sz w:val="19"/>
          <w:szCs w:val="19"/>
          <w:lang w:eastAsia="en-US"/>
        </w:rPr>
      </w:pPr>
      <w:r w:rsidRPr="00A9368B">
        <w:rPr>
          <w:rFonts w:ascii="Arial" w:eastAsia="Times New Roman" w:hAnsi="Arial" w:cs="Arial"/>
          <w:b/>
          <w:bCs/>
          <w:color w:val="222222"/>
          <w:lang w:val="en-IN" w:eastAsia="en-US"/>
        </w:rPr>
        <w:t>Line Spacing:</w:t>
      </w:r>
      <w:r w:rsidRPr="00A9368B">
        <w:rPr>
          <w:rFonts w:ascii="Arial" w:eastAsia="Times New Roman" w:hAnsi="Arial" w:cs="Arial"/>
          <w:color w:val="222222"/>
          <w:lang w:val="en-IN" w:eastAsia="en-US"/>
        </w:rPr>
        <w:t> single</w:t>
      </w:r>
    </w:p>
    <w:p w:rsidR="00A9368B" w:rsidRDefault="00A9368B" w:rsidP="00A9368B">
      <w:pPr>
        <w:shd w:val="clear" w:color="auto" w:fill="FFFFFF"/>
        <w:suppressAutoHyphens w:val="0"/>
        <w:jc w:val="left"/>
        <w:rPr>
          <w:rFonts w:ascii="Arial" w:eastAsia="Times New Roman" w:hAnsi="Arial" w:cs="Arial"/>
          <w:color w:val="222222"/>
          <w:lang w:val="en-IN" w:eastAsia="en-US"/>
        </w:rPr>
      </w:pPr>
      <w:r w:rsidRPr="00A9368B">
        <w:rPr>
          <w:rFonts w:ascii="Arial" w:eastAsia="Times New Roman" w:hAnsi="Arial" w:cs="Arial"/>
          <w:b/>
          <w:bCs/>
          <w:color w:val="222222"/>
          <w:lang w:val="en-IN" w:eastAsia="en-US"/>
        </w:rPr>
        <w:t>Before</w:t>
      </w:r>
      <w:r w:rsidRPr="00A9368B">
        <w:rPr>
          <w:rFonts w:ascii="Arial" w:eastAsia="Times New Roman" w:hAnsi="Arial" w:cs="Arial"/>
          <w:color w:val="222222"/>
          <w:lang w:val="en-IN" w:eastAsia="en-US"/>
        </w:rPr>
        <w:t>: 0” </w:t>
      </w:r>
      <w:r w:rsidRPr="00A9368B">
        <w:rPr>
          <w:rFonts w:ascii="Arial" w:eastAsia="Times New Roman" w:hAnsi="Arial" w:cs="Arial"/>
          <w:b/>
          <w:bCs/>
          <w:color w:val="222222"/>
          <w:lang w:val="en-IN" w:eastAsia="en-US"/>
        </w:rPr>
        <w:t>After:</w:t>
      </w:r>
      <w:r w:rsidRPr="00A9368B">
        <w:rPr>
          <w:rFonts w:ascii="Arial" w:eastAsia="Times New Roman" w:hAnsi="Arial" w:cs="Arial"/>
          <w:color w:val="222222"/>
          <w:lang w:val="en-IN" w:eastAsia="en-US"/>
        </w:rPr>
        <w:t> 0”</w:t>
      </w:r>
    </w:p>
    <w:p w:rsidR="00D71D91" w:rsidRDefault="00D71D91" w:rsidP="00A9368B">
      <w:pPr>
        <w:shd w:val="clear" w:color="auto" w:fill="FFFFFF"/>
        <w:suppressAutoHyphens w:val="0"/>
        <w:jc w:val="left"/>
        <w:rPr>
          <w:rFonts w:ascii="Arial" w:eastAsia="Times New Roman" w:hAnsi="Arial" w:cs="Arial"/>
          <w:color w:val="222222"/>
          <w:lang w:val="en-IN" w:eastAsia="en-US"/>
        </w:rPr>
      </w:pPr>
      <w:r w:rsidRPr="00D71D91">
        <w:rPr>
          <w:rFonts w:ascii="Arial" w:eastAsia="Times New Roman" w:hAnsi="Arial" w:cs="Arial"/>
          <w:b/>
          <w:color w:val="222222"/>
          <w:lang w:val="en-IN" w:eastAsia="en-US"/>
        </w:rPr>
        <w:t>Header</w:t>
      </w:r>
      <w:r>
        <w:rPr>
          <w:rFonts w:ascii="Arial" w:eastAsia="Times New Roman" w:hAnsi="Arial" w:cs="Arial"/>
          <w:color w:val="222222"/>
          <w:lang w:val="en-IN" w:eastAsia="en-US"/>
        </w:rPr>
        <w:t xml:space="preserve"> 0.3” </w:t>
      </w:r>
      <w:r w:rsidRPr="00D71D91">
        <w:rPr>
          <w:rFonts w:ascii="Arial" w:eastAsia="Times New Roman" w:hAnsi="Arial" w:cs="Arial"/>
          <w:b/>
          <w:color w:val="222222"/>
          <w:lang w:val="en-IN" w:eastAsia="en-US"/>
        </w:rPr>
        <w:t>footer</w:t>
      </w:r>
      <w:r>
        <w:rPr>
          <w:rFonts w:ascii="Arial" w:eastAsia="Times New Roman" w:hAnsi="Arial" w:cs="Arial"/>
          <w:color w:val="222222"/>
          <w:lang w:val="en-IN" w:eastAsia="en-US"/>
        </w:rPr>
        <w:t xml:space="preserve"> </w:t>
      </w:r>
      <w:r w:rsidRPr="00D71D91">
        <w:rPr>
          <w:rFonts w:ascii="Arial" w:eastAsia="Times New Roman" w:hAnsi="Arial" w:cs="Arial"/>
          <w:color w:val="222222"/>
          <w:lang w:val="en-IN" w:eastAsia="en-US"/>
        </w:rPr>
        <w:t>0”</w:t>
      </w:r>
    </w:p>
    <w:p w:rsidR="00962AC7" w:rsidRPr="00962AC7" w:rsidRDefault="00962AC7" w:rsidP="00962AC7">
      <w:pPr>
        <w:pStyle w:val="Heading1"/>
        <w:tabs>
          <w:tab w:val="clear" w:pos="0"/>
        </w:tabs>
        <w:ind w:firstLine="0"/>
        <w:jc w:val="left"/>
        <w:rPr>
          <w:b/>
        </w:rPr>
      </w:pPr>
      <w:r w:rsidRPr="00962AC7">
        <w:rPr>
          <w:smallCaps w:val="0"/>
          <w:spacing w:val="-1"/>
          <w:lang w:eastAsia="zh-CN"/>
        </w:rPr>
        <w:t xml:space="preserve">For this study secondary data has been collected. From the website of KSE the monthly stock prices for the sample firms are obtained from Jan 2010 to Dec 2014. And from the website of SBP the data for the macroeconomic variables are collected for the period of five years. The time series monthly data is collected on stock prices for sample </w:t>
      </w:r>
      <w:proofErr w:type="spellStart"/>
      <w:r w:rsidRPr="00962AC7">
        <w:rPr>
          <w:smallCaps w:val="0"/>
          <w:spacing w:val="-1"/>
          <w:lang w:eastAsia="zh-CN"/>
        </w:rPr>
        <w:t>firmsand</w:t>
      </w:r>
      <w:proofErr w:type="spellEnd"/>
      <w:r w:rsidRPr="00962AC7">
        <w:rPr>
          <w:smallCaps w:val="0"/>
          <w:spacing w:val="-1"/>
          <w:lang w:eastAsia="zh-CN"/>
        </w:rPr>
        <w:t xml:space="preserve"> relative macroeconomic variables for the period of 5 years. The data collection period is ranging from January 2010 to Dec 2014. Monthly prices of KSE -100 Index is taken from yahoo finance.</w:t>
      </w:r>
    </w:p>
    <w:p w:rsidR="00692375" w:rsidRPr="00782518" w:rsidRDefault="007D522D" w:rsidP="00962AC7">
      <w:pPr>
        <w:pStyle w:val="Heading1"/>
        <w:numPr>
          <w:ilvl w:val="0"/>
          <w:numId w:val="1"/>
        </w:numPr>
        <w:jc w:val="left"/>
        <w:rPr>
          <w:b/>
        </w:rPr>
      </w:pPr>
      <w:r w:rsidRPr="00782518">
        <w:rPr>
          <w:b/>
        </w:rPr>
        <w:t>Type Style and Fonts</w:t>
      </w:r>
    </w:p>
    <w:p w:rsidR="00962AC7" w:rsidRDefault="00962AC7" w:rsidP="00962AC7">
      <w:pPr>
        <w:jc w:val="both"/>
      </w:pPr>
      <w:r w:rsidRPr="00691748">
        <w:t>of five years. The time series monthly data</w:t>
      </w:r>
      <w:r w:rsidRPr="00962AC7">
        <w:rPr>
          <w:lang w:val="en-GB"/>
        </w:rPr>
        <w:t xml:space="preserve"> is collected on stock prices for sample firms</w:t>
      </w:r>
      <w:r w:rsidRPr="00691748">
        <w:t>and relative macroeconomic variables for the period of 5 years. The data collection period is ranging from January 2010 to Dec 2014. Monthly prices of KSE -100 Index is taken from yahoo finance.</w:t>
      </w:r>
    </w:p>
    <w:p w:rsidR="00692375" w:rsidRPr="00782518" w:rsidRDefault="007D522D" w:rsidP="00782518">
      <w:pPr>
        <w:pStyle w:val="Heading1"/>
        <w:numPr>
          <w:ilvl w:val="0"/>
          <w:numId w:val="1"/>
        </w:numPr>
        <w:jc w:val="left"/>
        <w:rPr>
          <w:b/>
        </w:rPr>
      </w:pPr>
      <w:r w:rsidRPr="00782518">
        <w:rPr>
          <w:b/>
        </w:rPr>
        <w:t>Ease of Use</w:t>
      </w:r>
    </w:p>
    <w:p w:rsidR="00692375" w:rsidRDefault="007D522D">
      <w:pPr>
        <w:pStyle w:val="BodyText"/>
      </w:pPr>
      <w:proofErr w:type="gramStart"/>
      <w:r>
        <w:t>Thetemplateisusedtoformatyourpaperandstylethetext.Allmargins,columnwidths</w:t>
      </w:r>
      <w:proofErr w:type="gramEnd"/>
      <w:r>
        <w:t>,linespaces,andtextfontsareprescribed;pleasedonotalterthem.Youmaynotepeculiarities.Forexample,theheadmargininthistemplatemeasuresproportionatelymorethaniscustomary.Thismeasurementandothersaredeliberate,usingspecificationsthatanticipateyourpaperasonepartoftheentireproceedings,andnotasanindependentdocument.Pleasedonotreviseanyofthecurrentdesignations.</w:t>
      </w:r>
    </w:p>
    <w:p w:rsidR="00692375" w:rsidRPr="00782518" w:rsidRDefault="007D522D" w:rsidP="00782518">
      <w:pPr>
        <w:pStyle w:val="Heading1"/>
        <w:numPr>
          <w:ilvl w:val="0"/>
          <w:numId w:val="1"/>
        </w:numPr>
        <w:jc w:val="left"/>
        <w:rPr>
          <w:b/>
        </w:rPr>
      </w:pPr>
      <w:r w:rsidRPr="00782518">
        <w:rPr>
          <w:b/>
        </w:rPr>
        <w:lastRenderedPageBreak/>
        <w:t>Prepare Your Paper Before Styling</w:t>
      </w:r>
    </w:p>
    <w:p w:rsidR="00692375" w:rsidRDefault="007D522D">
      <w:pPr>
        <w:pStyle w:val="BodyText"/>
      </w:pPr>
      <w:proofErr w:type="gramStart"/>
      <w:r>
        <w:t>Beforeyoubegintoformatyourpaper,firstwriteandsavethecontentasaseparatetextfile</w:t>
      </w:r>
      <w:proofErr w:type="gramEnd"/>
      <w:r>
        <w:t>.Keepyourtextandgraphicfilesseparateuntilafterthetexthasbeenformattedandstyled.Donotusehardtabs,andlimituseofhardreturnstoonlyonereturnattheendofaparagraph.Donotaddanykindofpaginationanywhereinthepaper.Donotnumbertextheads</w:t>
      </w:r>
      <w:r>
        <w:rPr>
          <w:rFonts w:eastAsia="Times New Roman"/>
        </w:rPr>
        <w:t>—</w:t>
      </w:r>
      <w:r>
        <w:t>thetemplatewilldothatforyou.</w:t>
      </w:r>
    </w:p>
    <w:p w:rsidR="00692375" w:rsidRDefault="007D522D">
      <w:pPr>
        <w:pStyle w:val="BodyText"/>
      </w:pPr>
      <w:proofErr w:type="gramStart"/>
      <w:r>
        <w:t>Finally,completecontentandorganizationaleditingbeforeformatting</w:t>
      </w:r>
      <w:proofErr w:type="gramEnd"/>
      <w:r>
        <w:t>.Pleasetakenoteofthefollowingitemswhenproofreadingspellingandgrammar.</w:t>
      </w:r>
    </w:p>
    <w:p w:rsidR="00692375" w:rsidRPr="002C60BB" w:rsidRDefault="007D522D" w:rsidP="007E4755">
      <w:pPr>
        <w:pStyle w:val="Heading2"/>
        <w:tabs>
          <w:tab w:val="left" w:pos="6270"/>
        </w:tabs>
        <w:rPr>
          <w:b/>
        </w:rPr>
      </w:pPr>
      <w:proofErr w:type="spellStart"/>
      <w:r w:rsidRPr="002C60BB">
        <w:rPr>
          <w:b/>
        </w:rPr>
        <w:t>AbbreviationsandAcronyms</w:t>
      </w:r>
      <w:proofErr w:type="spellEnd"/>
      <w:r w:rsidRPr="002C60BB">
        <w:rPr>
          <w:b/>
        </w:rPr>
        <w:t>(Heading2)</w:t>
      </w:r>
      <w:r w:rsidR="007E4755">
        <w:rPr>
          <w:b/>
        </w:rPr>
        <w:tab/>
      </w:r>
    </w:p>
    <w:p w:rsidR="00692375" w:rsidRDefault="007D522D">
      <w:pPr>
        <w:pStyle w:val="BodyText"/>
      </w:pPr>
      <w:proofErr w:type="gramStart"/>
      <w:r>
        <w:t>Defineabbreviationsandacronymsthefirsttimetheyareusedinthetext,evenaftertheyhavebeendefinedintheabstract</w:t>
      </w:r>
      <w:proofErr w:type="gramEnd"/>
      <w:r>
        <w:t>.AbbreviationssuchasIEEEandSIdonothavetobedefined.Donotuseabbreviationsinthetitleorheadsunlesstheyareunavoidable.</w:t>
      </w:r>
    </w:p>
    <w:p w:rsidR="00C26B91" w:rsidRDefault="00C26B91">
      <w:pPr>
        <w:pStyle w:val="BodyText"/>
      </w:pPr>
    </w:p>
    <w:p w:rsidR="00C26B91" w:rsidRPr="00691748" w:rsidRDefault="00C26B91" w:rsidP="00C26B91">
      <w:pPr>
        <w:jc w:val="both"/>
        <w:rPr>
          <w:b/>
          <w:bCs/>
        </w:rPr>
      </w:pPr>
      <w:r w:rsidRPr="00691748">
        <w:rPr>
          <w:b/>
          <w:bCs/>
        </w:rPr>
        <w:t>3.1</w:t>
      </w:r>
      <w:r w:rsidRPr="00691748">
        <w:rPr>
          <w:b/>
        </w:rPr>
        <w:t xml:space="preserve">Population and Sample </w:t>
      </w:r>
    </w:p>
    <w:p w:rsidR="00C26B91" w:rsidRPr="00691748" w:rsidRDefault="00C26B91" w:rsidP="00C26B91">
      <w:pPr>
        <w:jc w:val="both"/>
      </w:pPr>
      <w:r w:rsidRPr="00691748">
        <w:tab/>
        <w:t xml:space="preserve">KSE-100 index is an index of 100 companies selected from 580 companies on the basis of sector leading and market capitalization. It represents almost 80% weight of the total market capitalization of KSE. It reflects different sector company’s performance and productivity. It is the performance indicator or benchmark of all listed companies of KSE. So it can be regarded as universe of the </w:t>
      </w:r>
      <w:proofErr w:type="spellStart"/>
      <w:proofErr w:type="gramStart"/>
      <w:r w:rsidRPr="00691748">
        <w:t>study.Non</w:t>
      </w:r>
      <w:proofErr w:type="spellEnd"/>
      <w:proofErr w:type="gramEnd"/>
      <w:r w:rsidRPr="00691748">
        <w:t>-financial firms listed at KSE-100 Index (74 companies according to the page of KSE visited on 20.5.2015) are treated as universe of the study and the study have selected sample from these companies.</w:t>
      </w:r>
    </w:p>
    <w:p w:rsidR="00C26B91" w:rsidRPr="00691748" w:rsidRDefault="00C26B91" w:rsidP="00C26B91">
      <w:pPr>
        <w:jc w:val="both"/>
      </w:pPr>
      <w:r w:rsidRPr="00691748">
        <w:tab/>
        <w:t xml:space="preserve">The study comprised of non-financial companies listed at KSE-100 Index and 30 actively traded companies are selected on the bases of market </w:t>
      </w:r>
      <w:proofErr w:type="spellStart"/>
      <w:proofErr w:type="gramStart"/>
      <w:r w:rsidRPr="00691748">
        <w:t>capitalization.And</w:t>
      </w:r>
      <w:proofErr w:type="spellEnd"/>
      <w:proofErr w:type="gramEnd"/>
      <w:r w:rsidRPr="00691748">
        <w:t xml:space="preserve"> 2015 is taken as base year for KSE-100 index.</w:t>
      </w:r>
    </w:p>
    <w:p w:rsidR="00C26B91" w:rsidRPr="00691748" w:rsidRDefault="00C26B91" w:rsidP="00C26B91">
      <w:pPr>
        <w:jc w:val="both"/>
        <w:rPr>
          <w:lang w:val="en-GB"/>
        </w:rPr>
      </w:pPr>
    </w:p>
    <w:p w:rsidR="00C26B91" w:rsidRPr="00691748" w:rsidRDefault="00C26B91" w:rsidP="00C26B91">
      <w:pPr>
        <w:jc w:val="both"/>
      </w:pPr>
      <w:r w:rsidRPr="00691748">
        <w:rPr>
          <w:b/>
          <w:bCs/>
        </w:rPr>
        <w:t>3.2 Data and Sources of Data</w:t>
      </w:r>
    </w:p>
    <w:p w:rsidR="00C26B91" w:rsidRDefault="00C26B91" w:rsidP="00C26B91">
      <w:pPr>
        <w:jc w:val="both"/>
      </w:pPr>
      <w:r w:rsidRPr="00691748">
        <w:tab/>
        <w:t>For this study secondary data has been collected. From the website of KSE the monthly stock prices for the sample firms are obtained from Jan 2010 to Dec 2014. And from the website of SBP the data for the macroeconomic variables are collected for the period of five years. The time series monthly data</w:t>
      </w:r>
      <w:r w:rsidRPr="00691748">
        <w:rPr>
          <w:lang w:val="en-GB"/>
        </w:rPr>
        <w:t xml:space="preserve"> is collected on stock prices for sample firms</w:t>
      </w:r>
      <w:r w:rsidRPr="00691748">
        <w:t>and relative macroeconomic variables for the period of 5 years. The data collection period is ranging from January 2010 to Dec 2014. Monthly prices of KSE -100 Index is taken from yahoo finance.</w:t>
      </w:r>
    </w:p>
    <w:p w:rsidR="00C26B91" w:rsidRPr="00691748" w:rsidRDefault="00C26B91" w:rsidP="00C26B91">
      <w:pPr>
        <w:jc w:val="both"/>
        <w:rPr>
          <w:b/>
          <w:bCs/>
        </w:rPr>
      </w:pPr>
    </w:p>
    <w:p w:rsidR="00C26B91" w:rsidRPr="00691748" w:rsidRDefault="00C26B91" w:rsidP="00C26B91">
      <w:pPr>
        <w:jc w:val="both"/>
        <w:rPr>
          <w:b/>
          <w:bCs/>
        </w:rPr>
      </w:pPr>
      <w:r w:rsidRPr="00691748">
        <w:rPr>
          <w:b/>
          <w:bCs/>
        </w:rPr>
        <w:t>3.3 Theoretical framework</w:t>
      </w:r>
    </w:p>
    <w:p w:rsidR="00C26B91" w:rsidRPr="00691748" w:rsidRDefault="00C26B91" w:rsidP="00C26B91">
      <w:pPr>
        <w:jc w:val="both"/>
      </w:pPr>
      <w:r w:rsidRPr="00691748">
        <w:tab/>
        <w:t xml:space="preserve">Variables of the study contains dependent and independent variable. The study used pre-specified method for the selection </w:t>
      </w:r>
      <w:proofErr w:type="spellStart"/>
      <w:r w:rsidRPr="00691748">
        <w:t>ofvariables</w:t>
      </w:r>
      <w:proofErr w:type="spellEnd"/>
      <w:r w:rsidRPr="00691748">
        <w:t>. The study used the Stock returns are as dependent variable. From the share price of the firm the Stock returns are calculated. Rate of a stock salable at stock market is known as stock price.</w:t>
      </w:r>
    </w:p>
    <w:p w:rsidR="00C26B91" w:rsidRPr="00691748" w:rsidRDefault="00C26B91" w:rsidP="00C26B91">
      <w:pPr>
        <w:jc w:val="both"/>
      </w:pPr>
    </w:p>
    <w:p w:rsidR="00C26B91" w:rsidRPr="00691748" w:rsidRDefault="00C26B91" w:rsidP="00C26B91">
      <w:pPr>
        <w:jc w:val="both"/>
        <w:rPr>
          <w:bCs/>
        </w:rPr>
      </w:pPr>
      <w:r w:rsidRPr="00691748">
        <w:rPr>
          <w:bCs/>
        </w:rPr>
        <w:tab/>
        <w:t>Systematic risk is the only independent variable for the CAPM and inflation, interest rate, oil prices and exchange rate are the independent variables for APT model.</w:t>
      </w:r>
    </w:p>
    <w:p w:rsidR="00C26B91" w:rsidRPr="00691748" w:rsidRDefault="00C26B91" w:rsidP="00C26B91">
      <w:pPr>
        <w:jc w:val="both"/>
        <w:rPr>
          <w:bCs/>
        </w:rPr>
      </w:pPr>
    </w:p>
    <w:p w:rsidR="00C26B91" w:rsidRPr="00691748" w:rsidRDefault="00C26B91" w:rsidP="00C26B91">
      <w:pPr>
        <w:jc w:val="both"/>
        <w:rPr>
          <w:bCs/>
        </w:rPr>
      </w:pPr>
      <w:r w:rsidRPr="00691748">
        <w:rPr>
          <w:bCs/>
        </w:rPr>
        <w:t xml:space="preserve">Consumer Price Index (CPI) is used as a proxy in this study for inflation rate. CPI is a wide basic measure to </w:t>
      </w:r>
      <w:proofErr w:type="spellStart"/>
      <w:r w:rsidRPr="00691748">
        <w:rPr>
          <w:bCs/>
        </w:rPr>
        <w:t>computeusualvariation</w:t>
      </w:r>
      <w:proofErr w:type="spellEnd"/>
      <w:r w:rsidRPr="00691748">
        <w:rPr>
          <w:bCs/>
        </w:rPr>
        <w:t xml:space="preserve"> in prices of goods and services throughout a particular time period. It is assumed that arise in inflation is inversely associated to security prices because Inflation is at </w:t>
      </w:r>
      <w:proofErr w:type="spellStart"/>
      <w:r w:rsidRPr="00691748">
        <w:rPr>
          <w:bCs/>
        </w:rPr>
        <w:t>lastturned</w:t>
      </w:r>
      <w:proofErr w:type="spellEnd"/>
      <w:r w:rsidRPr="00691748">
        <w:rPr>
          <w:bCs/>
        </w:rPr>
        <w:t xml:space="preserve"> into nominal interest rate </w:t>
      </w:r>
      <w:proofErr w:type="spellStart"/>
      <w:r w:rsidRPr="00691748">
        <w:rPr>
          <w:bCs/>
        </w:rPr>
        <w:t>andchange</w:t>
      </w:r>
      <w:proofErr w:type="spellEnd"/>
      <w:r w:rsidRPr="00691748">
        <w:rPr>
          <w:bCs/>
        </w:rPr>
        <w:t xml:space="preserve"> in nominal interest rates caused change in discount rate so discount rate increase due to increase in inflation rate and increase in discount </w:t>
      </w:r>
      <w:proofErr w:type="spellStart"/>
      <w:r w:rsidRPr="00691748">
        <w:rPr>
          <w:bCs/>
        </w:rPr>
        <w:t>rateleads</w:t>
      </w:r>
      <w:proofErr w:type="spellEnd"/>
      <w:r w:rsidRPr="00691748">
        <w:rPr>
          <w:bCs/>
        </w:rPr>
        <w:t xml:space="preserve"> </w:t>
      </w:r>
      <w:proofErr w:type="spellStart"/>
      <w:r w:rsidRPr="00691748">
        <w:rPr>
          <w:bCs/>
        </w:rPr>
        <w:t>todecreasethe</w:t>
      </w:r>
      <w:proofErr w:type="spellEnd"/>
      <w:r w:rsidRPr="00691748">
        <w:rPr>
          <w:bCs/>
        </w:rPr>
        <w:t xml:space="preserve"> cash flow’s present value (</w:t>
      </w:r>
      <w:proofErr w:type="spellStart"/>
      <w:r w:rsidRPr="00691748">
        <w:rPr>
          <w:bCs/>
        </w:rPr>
        <w:t>Jecheche</w:t>
      </w:r>
      <w:proofErr w:type="spellEnd"/>
      <w:r w:rsidRPr="00691748">
        <w:rPr>
          <w:bCs/>
        </w:rPr>
        <w:t>, 2010). The purchasing power of money decreased due to inflation, and due to which the investors demand high rate of return, and the prices decreased with increase in required rate of return (Iqbal et al, 2010).</w:t>
      </w:r>
    </w:p>
    <w:p w:rsidR="00692375" w:rsidRPr="002C60BB" w:rsidRDefault="007D522D">
      <w:pPr>
        <w:pStyle w:val="Heading2"/>
        <w:rPr>
          <w:b/>
        </w:rPr>
      </w:pPr>
      <w:r w:rsidRPr="002C60BB">
        <w:rPr>
          <w:b/>
        </w:rPr>
        <w:t>Equations</w:t>
      </w:r>
    </w:p>
    <w:p w:rsidR="00692375" w:rsidRDefault="007D522D">
      <w:pPr>
        <w:pStyle w:val="BodyText"/>
      </w:pPr>
      <w:r>
        <w:t>Theequationsareanexceptiontotheprescribedspecificationsofthistemplate.YouwillneedtodeterminewhetherornotyourequationshouldbetypedusingeithertheTimesNewRomanortheSymbolfont(pleasenootherfont</w:t>
      </w:r>
      <w:proofErr w:type="gramStart"/>
      <w:r>
        <w:t>).Tocreatemultileveledequations</w:t>
      </w:r>
      <w:proofErr w:type="gramEnd"/>
      <w:r>
        <w:t>,itmaybenecessarytotreattheequationasagraphicandinsertitintothetextafteryourpaperisstyled.</w:t>
      </w:r>
    </w:p>
    <w:p w:rsidR="00692375" w:rsidRDefault="007D522D">
      <w:pPr>
        <w:pStyle w:val="BodyText"/>
      </w:pPr>
      <w:proofErr w:type="gramStart"/>
      <w:r>
        <w:t>Numberequationsconsecutively.Equationnumbers,withinparentheses</w:t>
      </w:r>
      <w:proofErr w:type="gramEnd"/>
      <w:r>
        <w:t>,aretopositionflushright,asin</w:t>
      </w:r>
      <w:r>
        <w:rPr>
          <w:rFonts w:eastAsia="Times New Roman"/>
        </w:rPr>
        <w:t xml:space="preserve"> Eq. </w:t>
      </w:r>
      <w:r>
        <w:t>1,usingarighttabstop.Tomakeyourequationsmorecompact,youmayusethesolidus(/),theexpfunction,orappropriateexponents.ItalicizeRomansymbolsforquantitiesandvariables,butnotGreeksymbols.Usealongdashratherthanahyphenforaminussign.Punctuateequationswithcommasorperiodswhentheyarepartofasentence,asin</w:t>
      </w:r>
    </w:p>
    <w:p w:rsidR="00692375" w:rsidRDefault="007D522D">
      <w:pPr>
        <w:pStyle w:val="equation"/>
      </w:pPr>
      <w:r>
        <w:tab/>
      </w:r>
      <w:r>
        <w:rPr>
          <w:rFonts w:eastAsia="Symbol"/>
        </w:rPr>
        <w:t></w:t>
      </w:r>
      <w:r>
        <w:rPr>
          <w:rFonts w:eastAsia="Symbol"/>
        </w:rPr>
        <w:t></w:t>
      </w:r>
      <w:r>
        <w:rPr>
          <w:rFonts w:eastAsia="Symbol"/>
        </w:rPr>
        <w:t></w:t>
      </w:r>
      <w:r>
        <w:rPr>
          <w:rFonts w:eastAsia="Symbol"/>
        </w:rPr>
        <w:t></w:t>
      </w:r>
      <w:r>
        <w:rPr>
          <w:rFonts w:eastAsia="Symbol"/>
        </w:rPr>
        <w:t></w:t>
      </w:r>
      <w:r>
        <w:rPr>
          <w:rFonts w:eastAsia="Symbol"/>
        </w:rPr>
        <w:t></w:t>
      </w:r>
      <w:r>
        <w:rPr>
          <w:rFonts w:eastAsia="Symbol"/>
        </w:rPr>
        <w:t></w:t>
      </w:r>
      <w:r>
        <w:rPr>
          <w:rFonts w:eastAsia="Symbol"/>
        </w:rPr>
        <w:t></w:t>
      </w:r>
      <w:r>
        <w:rPr>
          <w:rFonts w:eastAsia="Symbol"/>
        </w:rPr>
        <w:t></w:t>
      </w:r>
      <w:r>
        <w:rPr>
          <w:rFonts w:eastAsia="Symbol"/>
        </w:rPr>
        <w:t></w:t>
      </w:r>
      <w:r>
        <w:rPr>
          <w:rFonts w:eastAsia="Symbol"/>
        </w:rPr>
        <w:t></w:t>
      </w:r>
      <w:r>
        <w:rPr>
          <w:rFonts w:eastAsia="Symbol"/>
        </w:rPr>
        <w:t></w:t>
      </w:r>
      <w:r>
        <w:tab/>
      </w:r>
      <w:r>
        <w:rPr>
          <w:rFonts w:eastAsia="Symbol"/>
        </w:rPr>
        <w:t></w:t>
      </w:r>
      <w:r>
        <w:rPr>
          <w:rFonts w:eastAsia="Symbol"/>
        </w:rPr>
        <w:t></w:t>
      </w:r>
      <w:r>
        <w:rPr>
          <w:rFonts w:eastAsia="Symbol"/>
        </w:rPr>
        <w:t></w:t>
      </w:r>
    </w:p>
    <w:p w:rsidR="00692375" w:rsidRDefault="007D522D">
      <w:pPr>
        <w:pStyle w:val="BodyText"/>
      </w:pPr>
      <w:proofErr w:type="gramStart"/>
      <w:r>
        <w:t>Notethattheequationiscenteredusingacentertabstop.Besurethatthesymbolsinyourequationhavebeendefinedbeforeorimmediatelyfollowingtheequation.Use</w:t>
      </w:r>
      <w:proofErr w:type="gramEnd"/>
      <w:r>
        <w:rPr>
          <w:rFonts w:eastAsia="Times New Roman"/>
        </w:rPr>
        <w:t xml:space="preserve"> “</w:t>
      </w:r>
      <w:r>
        <w:t>Eq.1</w:t>
      </w:r>
      <w:r>
        <w:rPr>
          <w:rFonts w:eastAsia="Times New Roman"/>
        </w:rPr>
        <w:t xml:space="preserve">” </w:t>
      </w:r>
      <w:r>
        <w:t>or</w:t>
      </w:r>
      <w:r>
        <w:rPr>
          <w:rFonts w:eastAsia="Times New Roman"/>
        </w:rPr>
        <w:t xml:space="preserve"> “E</w:t>
      </w:r>
      <w:r>
        <w:t>quation1</w:t>
      </w:r>
      <w:r>
        <w:rPr>
          <w:rFonts w:eastAsia="Times New Roman"/>
        </w:rPr>
        <w:t>”</w:t>
      </w:r>
      <w:r>
        <w:t>,</w:t>
      </w:r>
      <w:r>
        <w:rPr>
          <w:rFonts w:eastAsia="Times New Roman"/>
        </w:rPr>
        <w:t xml:space="preserve"> not “(1)”, especially </w:t>
      </w:r>
      <w:proofErr w:type="spellStart"/>
      <w:r>
        <w:t>atthebeginningofasentence</w:t>
      </w:r>
      <w:proofErr w:type="spellEnd"/>
      <w:r>
        <w:t>:</w:t>
      </w:r>
      <w:r>
        <w:rPr>
          <w:rFonts w:eastAsia="Times New Roman"/>
        </w:rPr>
        <w:t xml:space="preserve"> “</w:t>
      </w:r>
      <w:r>
        <w:t>Equation1is...</w:t>
      </w:r>
      <w:r>
        <w:rPr>
          <w:rFonts w:eastAsia="Times New Roman"/>
        </w:rPr>
        <w:t>”</w:t>
      </w:r>
    </w:p>
    <w:p w:rsidR="00C26B91" w:rsidRPr="00980AF4" w:rsidRDefault="00C26B91" w:rsidP="00C26B91">
      <w:pPr>
        <w:pStyle w:val="ListParagraph"/>
        <w:numPr>
          <w:ilvl w:val="0"/>
          <w:numId w:val="9"/>
        </w:numPr>
        <w:rPr>
          <w:b/>
          <w:bCs/>
          <w:sz w:val="20"/>
          <w:szCs w:val="20"/>
        </w:rPr>
      </w:pPr>
      <w:r w:rsidRPr="00980AF4">
        <w:rPr>
          <w:b/>
          <w:bCs/>
          <w:sz w:val="20"/>
          <w:szCs w:val="20"/>
        </w:rPr>
        <w:t>RESEARCH METHODOLOGY</w:t>
      </w:r>
    </w:p>
    <w:p w:rsidR="00C26B91" w:rsidRDefault="00C26B91" w:rsidP="00C26B91">
      <w:pPr>
        <w:jc w:val="both"/>
      </w:pPr>
    </w:p>
    <w:p w:rsidR="00C26B91" w:rsidRPr="00691748" w:rsidRDefault="00C26B91" w:rsidP="00C26B91">
      <w:pPr>
        <w:jc w:val="both"/>
      </w:pPr>
      <w:r>
        <w:t>T</w:t>
      </w:r>
      <w:r w:rsidRPr="00691748">
        <w:t xml:space="preserve">he methodology section </w:t>
      </w:r>
      <w:proofErr w:type="gramStart"/>
      <w:r w:rsidRPr="00691748">
        <w:t>outline</w:t>
      </w:r>
      <w:proofErr w:type="gramEnd"/>
      <w:r w:rsidRPr="00691748">
        <w:t xml:space="preserve"> the plan and method that how the study is conducted. This includes Universe of the study, sample of the </w:t>
      </w:r>
      <w:proofErr w:type="spellStart"/>
      <w:proofErr w:type="gramStart"/>
      <w:r w:rsidRPr="00691748">
        <w:t>study,</w:t>
      </w:r>
      <w:r w:rsidRPr="00691748">
        <w:rPr>
          <w:bCs/>
        </w:rPr>
        <w:t>Data</w:t>
      </w:r>
      <w:proofErr w:type="spellEnd"/>
      <w:proofErr w:type="gramEnd"/>
      <w:r w:rsidRPr="00691748">
        <w:rPr>
          <w:bCs/>
        </w:rPr>
        <w:t xml:space="preserve"> and Sources of Data</w:t>
      </w:r>
      <w:r w:rsidRPr="00691748">
        <w:t xml:space="preserve">, study’s variables and analytical framework. The </w:t>
      </w:r>
      <w:proofErr w:type="spellStart"/>
      <w:r w:rsidRPr="00691748">
        <w:t>detailsare</w:t>
      </w:r>
      <w:proofErr w:type="spellEnd"/>
      <w:r w:rsidRPr="00691748">
        <w:t xml:space="preserve"> as follows;</w:t>
      </w:r>
    </w:p>
    <w:p w:rsidR="00C26B91" w:rsidRPr="00691748" w:rsidRDefault="00C26B91" w:rsidP="00C26B91">
      <w:pPr>
        <w:jc w:val="both"/>
      </w:pPr>
    </w:p>
    <w:p w:rsidR="00C26B91" w:rsidRPr="00691748" w:rsidRDefault="00C26B91" w:rsidP="00C26B91">
      <w:pPr>
        <w:jc w:val="both"/>
        <w:rPr>
          <w:b/>
          <w:bCs/>
        </w:rPr>
      </w:pPr>
      <w:r w:rsidRPr="00691748">
        <w:rPr>
          <w:b/>
          <w:bCs/>
        </w:rPr>
        <w:t>3.1</w:t>
      </w:r>
      <w:r w:rsidRPr="00691748">
        <w:rPr>
          <w:b/>
        </w:rPr>
        <w:t xml:space="preserve">Population and Sample </w:t>
      </w:r>
    </w:p>
    <w:p w:rsidR="00C26B91" w:rsidRPr="00691748" w:rsidRDefault="00C26B91" w:rsidP="00C26B91">
      <w:pPr>
        <w:jc w:val="both"/>
      </w:pPr>
      <w:r w:rsidRPr="00691748">
        <w:tab/>
        <w:t xml:space="preserve">KSE-100 index is an index of 100 companies selected from 580 companies on the basis of sector leading and market capitalization. It represents almost 80% weight of the total market capitalization of KSE. It reflects different sector company’s </w:t>
      </w:r>
      <w:r w:rsidRPr="00691748">
        <w:lastRenderedPageBreak/>
        <w:t xml:space="preserve">performance and productivity. It is the performance indicator or benchmark of all listed companies of KSE. So it can be regarded as universe of the </w:t>
      </w:r>
      <w:proofErr w:type="spellStart"/>
      <w:proofErr w:type="gramStart"/>
      <w:r w:rsidRPr="00691748">
        <w:t>study.Non</w:t>
      </w:r>
      <w:proofErr w:type="spellEnd"/>
      <w:proofErr w:type="gramEnd"/>
      <w:r w:rsidRPr="00691748">
        <w:t>-financial firms listed at KSE-100 Index (74 companies according to the page of KSE visited on 20.5.2015) are treated as universe of the study and the study have selected sample from these companies.</w:t>
      </w:r>
    </w:p>
    <w:p w:rsidR="00C26B91" w:rsidRPr="00691748" w:rsidRDefault="00C26B91" w:rsidP="00C26B91">
      <w:pPr>
        <w:jc w:val="both"/>
      </w:pPr>
      <w:r w:rsidRPr="00691748">
        <w:tab/>
        <w:t xml:space="preserve">The study comprised of non-financial companies listed at KSE-100 Index and 30 actively traded companies are selected on the bases of market </w:t>
      </w:r>
      <w:proofErr w:type="spellStart"/>
      <w:proofErr w:type="gramStart"/>
      <w:r w:rsidRPr="00691748">
        <w:t>capitalization.And</w:t>
      </w:r>
      <w:proofErr w:type="spellEnd"/>
      <w:proofErr w:type="gramEnd"/>
      <w:r w:rsidRPr="00691748">
        <w:t xml:space="preserve"> 2015 is taken as base year for KSE-100 index.</w:t>
      </w:r>
    </w:p>
    <w:p w:rsidR="00C26B91" w:rsidRPr="00691748" w:rsidRDefault="00C26B91" w:rsidP="00C26B91">
      <w:pPr>
        <w:jc w:val="both"/>
        <w:rPr>
          <w:lang w:val="en-GB"/>
        </w:rPr>
      </w:pPr>
    </w:p>
    <w:p w:rsidR="00C26B91" w:rsidRPr="00691748" w:rsidRDefault="00C26B91" w:rsidP="00C26B91">
      <w:pPr>
        <w:jc w:val="both"/>
      </w:pPr>
      <w:r w:rsidRPr="00691748">
        <w:rPr>
          <w:b/>
          <w:bCs/>
        </w:rPr>
        <w:t>3.2 Data and Sources of Data</w:t>
      </w:r>
    </w:p>
    <w:p w:rsidR="00C26B91" w:rsidRDefault="00C26B91" w:rsidP="00C26B91">
      <w:pPr>
        <w:jc w:val="both"/>
      </w:pPr>
      <w:r w:rsidRPr="00691748">
        <w:tab/>
        <w:t>For this study secondary data has been collected. From the website of KSE the monthly stock prices for the sample firms are obtained from Jan 2010 to Dec 2014. And from the website of SBP the data for the macroeconomic variables are collected for the period of five years. The time series monthly data</w:t>
      </w:r>
      <w:r w:rsidRPr="00691748">
        <w:rPr>
          <w:lang w:val="en-GB"/>
        </w:rPr>
        <w:t xml:space="preserve"> is collected on stock prices for sample firms</w:t>
      </w:r>
      <w:r w:rsidRPr="00691748">
        <w:t>and relative macroeconomic variables for the period of 5 years. The data collection period is ranging from January 2010 to Dec 2014. Monthly prices of KSE -100 Index is taken from yahoo finance.</w:t>
      </w:r>
    </w:p>
    <w:p w:rsidR="00C26B91" w:rsidRPr="00691748" w:rsidRDefault="00C26B91" w:rsidP="00C26B91">
      <w:pPr>
        <w:jc w:val="both"/>
        <w:rPr>
          <w:b/>
          <w:bCs/>
        </w:rPr>
      </w:pPr>
    </w:p>
    <w:p w:rsidR="00C26B91" w:rsidRPr="00691748" w:rsidRDefault="00C26B91" w:rsidP="00C26B91">
      <w:pPr>
        <w:jc w:val="both"/>
        <w:rPr>
          <w:b/>
          <w:bCs/>
        </w:rPr>
      </w:pPr>
      <w:r w:rsidRPr="00691748">
        <w:rPr>
          <w:b/>
          <w:bCs/>
        </w:rPr>
        <w:t>3.3 Theoretical framework</w:t>
      </w:r>
    </w:p>
    <w:p w:rsidR="00C26B91" w:rsidRPr="00691748" w:rsidRDefault="00C26B91" w:rsidP="00C26B91">
      <w:pPr>
        <w:jc w:val="both"/>
      </w:pPr>
      <w:r w:rsidRPr="00691748">
        <w:tab/>
        <w:t xml:space="preserve">Variables of the study contains dependent and independent variable. The study used pre-specified method for the selection </w:t>
      </w:r>
      <w:proofErr w:type="spellStart"/>
      <w:r w:rsidRPr="00691748">
        <w:t>ofvariables</w:t>
      </w:r>
      <w:proofErr w:type="spellEnd"/>
      <w:r w:rsidRPr="00691748">
        <w:t>. The study used the Stock returns are as dependent variable. From the share price of the firm the Stock returns are calculated. Rate of a stock salable at stock market is known as stock price.</w:t>
      </w:r>
    </w:p>
    <w:p w:rsidR="00C26B91" w:rsidRPr="00691748" w:rsidRDefault="00C26B91" w:rsidP="00C26B91">
      <w:pPr>
        <w:jc w:val="both"/>
      </w:pPr>
    </w:p>
    <w:p w:rsidR="00C26B91" w:rsidRPr="00691748" w:rsidRDefault="00C26B91" w:rsidP="00C26B91">
      <w:pPr>
        <w:jc w:val="both"/>
        <w:rPr>
          <w:bCs/>
        </w:rPr>
      </w:pPr>
      <w:r w:rsidRPr="00691748">
        <w:rPr>
          <w:bCs/>
        </w:rPr>
        <w:tab/>
        <w:t>Systematic risk is the only independent variable for the CAPM and inflation, interest rate, oil prices and exchange rate are the independent variables for APT model.</w:t>
      </w:r>
    </w:p>
    <w:p w:rsidR="00C26B91" w:rsidRPr="00691748" w:rsidRDefault="00C26B91" w:rsidP="00C26B91">
      <w:pPr>
        <w:jc w:val="both"/>
        <w:rPr>
          <w:bCs/>
        </w:rPr>
      </w:pPr>
    </w:p>
    <w:p w:rsidR="00C26B91" w:rsidRPr="00691748" w:rsidRDefault="00C26B91" w:rsidP="00C26B91">
      <w:pPr>
        <w:jc w:val="both"/>
        <w:rPr>
          <w:bCs/>
        </w:rPr>
      </w:pPr>
      <w:r w:rsidRPr="00691748">
        <w:rPr>
          <w:bCs/>
        </w:rPr>
        <w:t xml:space="preserve">Consumer Price Index (CPI) is used as a proxy in this study for inflation rate. CPI is a wide basic measure to </w:t>
      </w:r>
      <w:proofErr w:type="spellStart"/>
      <w:r w:rsidRPr="00691748">
        <w:rPr>
          <w:bCs/>
        </w:rPr>
        <w:t>computeusualvariation</w:t>
      </w:r>
      <w:proofErr w:type="spellEnd"/>
      <w:r w:rsidRPr="00691748">
        <w:rPr>
          <w:bCs/>
        </w:rPr>
        <w:t xml:space="preserve"> in prices of goods and services throughout a particular time period. It is assumed that arise in inflation is inversely associated to security prices because Inflation is at </w:t>
      </w:r>
      <w:proofErr w:type="spellStart"/>
      <w:r w:rsidRPr="00691748">
        <w:rPr>
          <w:bCs/>
        </w:rPr>
        <w:t>lastturned</w:t>
      </w:r>
      <w:proofErr w:type="spellEnd"/>
      <w:r w:rsidRPr="00691748">
        <w:rPr>
          <w:bCs/>
        </w:rPr>
        <w:t xml:space="preserve"> into nominal interest rate </w:t>
      </w:r>
      <w:proofErr w:type="spellStart"/>
      <w:r w:rsidRPr="00691748">
        <w:rPr>
          <w:bCs/>
        </w:rPr>
        <w:t>andchange</w:t>
      </w:r>
      <w:proofErr w:type="spellEnd"/>
      <w:r w:rsidRPr="00691748">
        <w:rPr>
          <w:bCs/>
        </w:rPr>
        <w:t xml:space="preserve"> in nominal interest rates caused change in discount rate so discount rate increase due to increase in inflation rate and increase in discount </w:t>
      </w:r>
      <w:proofErr w:type="spellStart"/>
      <w:r w:rsidRPr="00691748">
        <w:rPr>
          <w:bCs/>
        </w:rPr>
        <w:t>rateleads</w:t>
      </w:r>
      <w:proofErr w:type="spellEnd"/>
      <w:r w:rsidRPr="00691748">
        <w:rPr>
          <w:bCs/>
        </w:rPr>
        <w:t xml:space="preserve"> </w:t>
      </w:r>
      <w:proofErr w:type="spellStart"/>
      <w:r w:rsidRPr="00691748">
        <w:rPr>
          <w:bCs/>
        </w:rPr>
        <w:t>todecreasethe</w:t>
      </w:r>
      <w:proofErr w:type="spellEnd"/>
      <w:r w:rsidRPr="00691748">
        <w:rPr>
          <w:bCs/>
        </w:rPr>
        <w:t xml:space="preserve"> cash flow’s present value (</w:t>
      </w:r>
      <w:proofErr w:type="spellStart"/>
      <w:r w:rsidRPr="00691748">
        <w:rPr>
          <w:bCs/>
        </w:rPr>
        <w:t>Jecheche</w:t>
      </w:r>
      <w:proofErr w:type="spellEnd"/>
      <w:r w:rsidRPr="00691748">
        <w:rPr>
          <w:bCs/>
        </w:rPr>
        <w:t>, 2010). The purchasing power of money decreased due to inflation, and due to which the investors demand high rate of return, and the prices decreased with increase in required rate of return (Iqbal et al, 2010).</w:t>
      </w:r>
    </w:p>
    <w:p w:rsidR="00C26B91" w:rsidRPr="00691748" w:rsidRDefault="00C26B91" w:rsidP="00C26B91">
      <w:pPr>
        <w:jc w:val="both"/>
        <w:rPr>
          <w:b/>
        </w:rPr>
      </w:pPr>
    </w:p>
    <w:p w:rsidR="00C26B91" w:rsidRPr="00691748" w:rsidRDefault="00C26B91" w:rsidP="00C26B91">
      <w:pPr>
        <w:jc w:val="both"/>
        <w:rPr>
          <w:bCs/>
        </w:rPr>
      </w:pPr>
      <w:r w:rsidRPr="00691748">
        <w:tab/>
        <w:t>Exchange rate is a rate at which one currency exchanged with another currency. Nominal effective exchange rate (Pak Rupee/U.</w:t>
      </w:r>
      <w:proofErr w:type="gramStart"/>
      <w:r w:rsidRPr="00691748">
        <w:t>S.D</w:t>
      </w:r>
      <w:proofErr w:type="gramEnd"/>
      <w:r w:rsidRPr="00691748">
        <w:t xml:space="preserve">) is taken in this </w:t>
      </w:r>
      <w:proofErr w:type="spellStart"/>
      <w:r w:rsidRPr="00691748">
        <w:t>study.</w:t>
      </w:r>
      <w:r w:rsidRPr="00691748">
        <w:rPr>
          <w:bCs/>
        </w:rPr>
        <w:t>This</w:t>
      </w:r>
      <w:proofErr w:type="spellEnd"/>
      <w:r w:rsidRPr="00691748">
        <w:rPr>
          <w:bCs/>
        </w:rPr>
        <w:t xml:space="preserve"> is assumed that decrease in the home currency is </w:t>
      </w:r>
      <w:proofErr w:type="spellStart"/>
      <w:r w:rsidRPr="00691748">
        <w:rPr>
          <w:bCs/>
        </w:rPr>
        <w:t>inverselyassociated</w:t>
      </w:r>
      <w:proofErr w:type="spellEnd"/>
      <w:r w:rsidRPr="00691748">
        <w:rPr>
          <w:bCs/>
        </w:rPr>
        <w:t xml:space="preserve"> to share prices (Jecheche,2010). </w:t>
      </w:r>
      <w:r w:rsidRPr="00691748">
        <w:t xml:space="preserve"> Pan et al. (2007) studied exchange rate and its dynamic relationship with share prices in seven East Asian Countries and </w:t>
      </w:r>
      <w:proofErr w:type="spellStart"/>
      <w:r w:rsidRPr="00691748">
        <w:t>concludethat</w:t>
      </w:r>
      <w:proofErr w:type="spellEnd"/>
      <w:r w:rsidRPr="00691748">
        <w:t xml:space="preserve"> </w:t>
      </w:r>
      <w:proofErr w:type="spellStart"/>
      <w:r w:rsidRPr="00691748">
        <w:t>relationshipof</w:t>
      </w:r>
      <w:proofErr w:type="spellEnd"/>
      <w:r w:rsidRPr="00691748">
        <w:t xml:space="preserve"> exchange rate and share prices varies across economies of different countries. So there may be both possibility of either exchange rate directly or </w:t>
      </w:r>
      <w:proofErr w:type="spellStart"/>
      <w:r w:rsidRPr="00691748">
        <w:t>inverselyrelated</w:t>
      </w:r>
      <w:proofErr w:type="spellEnd"/>
      <w:r w:rsidRPr="00691748">
        <w:t xml:space="preserve"> with stock </w:t>
      </w:r>
      <w:proofErr w:type="spellStart"/>
      <w:proofErr w:type="gramStart"/>
      <w:r w:rsidRPr="00691748">
        <w:t>prices.</w:t>
      </w:r>
      <w:r w:rsidRPr="00691748">
        <w:rPr>
          <w:bCs/>
        </w:rPr>
        <w:t>Oil</w:t>
      </w:r>
      <w:proofErr w:type="spellEnd"/>
      <w:proofErr w:type="gramEnd"/>
      <w:r w:rsidRPr="00691748">
        <w:rPr>
          <w:bCs/>
        </w:rPr>
        <w:t xml:space="preserve"> prices are positively related with share prices if oil prices increase stock prices also increase (Iqbal et al, 1012).</w:t>
      </w:r>
      <w:proofErr w:type="spellStart"/>
      <w:r w:rsidRPr="00691748">
        <w:t>Ataullah</w:t>
      </w:r>
      <w:proofErr w:type="spellEnd"/>
      <w:r w:rsidRPr="00691748">
        <w:t xml:space="preserve"> (2001) suggested that oil prices cause positive change in the movement of stock prices. The oil price has no significant effect on stock prices (Dash &amp; </w:t>
      </w:r>
      <w:proofErr w:type="spellStart"/>
      <w:r w:rsidRPr="00691748">
        <w:t>Rishika</w:t>
      </w:r>
      <w:proofErr w:type="spellEnd"/>
      <w:r w:rsidRPr="00691748">
        <w:t>, 2011</w:t>
      </w:r>
      <w:proofErr w:type="gramStart"/>
      <w:r w:rsidRPr="00691748">
        <w:t>).</w:t>
      </w:r>
      <w:r w:rsidRPr="00691748">
        <w:rPr>
          <w:bCs/>
        </w:rPr>
        <w:t>Six</w:t>
      </w:r>
      <w:proofErr w:type="gramEnd"/>
      <w:r w:rsidRPr="00691748">
        <w:t xml:space="preserve"> month T-bills rate is used as proxy of interest rate. As investors </w:t>
      </w:r>
      <w:proofErr w:type="spellStart"/>
      <w:r w:rsidRPr="00691748">
        <w:t>arevery</w:t>
      </w:r>
      <w:proofErr w:type="spellEnd"/>
      <w:r w:rsidRPr="00691748">
        <w:t xml:space="preserve"> sensitive about profit and where the signals turn into red they definitely sell the shares. And this sensitivity of the investors towards profit effects the relationship of the stock prices and interest rate, so the more volatility will be there in the market if the behaviors of the investors are more sensitive. Plethora (</w:t>
      </w:r>
      <w:proofErr w:type="gramStart"/>
      <w:r w:rsidRPr="00691748">
        <w:t>2002)has</w:t>
      </w:r>
      <w:proofErr w:type="gramEnd"/>
      <w:r w:rsidRPr="00691748">
        <w:t xml:space="preserve"> tested interest rate sensitivity to stock market returns, and concluded an inverse relationship between interest rate and stock returns. Nguyen (2010) studies Thailand market and found </w:t>
      </w:r>
      <w:proofErr w:type="spellStart"/>
      <w:r w:rsidRPr="00691748">
        <w:t>that</w:t>
      </w:r>
      <w:r w:rsidRPr="00691748">
        <w:rPr>
          <w:bCs/>
        </w:rPr>
        <w:t>Interest</w:t>
      </w:r>
      <w:proofErr w:type="spellEnd"/>
      <w:r w:rsidRPr="00691748">
        <w:rPr>
          <w:bCs/>
        </w:rPr>
        <w:t xml:space="preserve"> rate has </w:t>
      </w:r>
      <w:proofErr w:type="spellStart"/>
      <w:r w:rsidRPr="00691748">
        <w:rPr>
          <w:bCs/>
        </w:rPr>
        <w:t>aninverse</w:t>
      </w:r>
      <w:proofErr w:type="spellEnd"/>
      <w:r w:rsidRPr="00691748">
        <w:rPr>
          <w:bCs/>
        </w:rPr>
        <w:t xml:space="preserve"> relationship with stock prices</w:t>
      </w:r>
      <w:r w:rsidRPr="00691748">
        <w:t xml:space="preserve">. </w:t>
      </w:r>
    </w:p>
    <w:p w:rsidR="00C26B91" w:rsidRPr="00691748" w:rsidRDefault="00C26B91" w:rsidP="00C26B91">
      <w:pPr>
        <w:jc w:val="both"/>
        <w:rPr>
          <w:bCs/>
        </w:rPr>
      </w:pPr>
    </w:p>
    <w:p w:rsidR="00C26B91" w:rsidRPr="00691748" w:rsidRDefault="00C26B91" w:rsidP="00C26B91">
      <w:pPr>
        <w:jc w:val="both"/>
        <w:rPr>
          <w:b/>
          <w:bCs/>
          <w:i/>
        </w:rPr>
      </w:pPr>
      <w:r w:rsidRPr="00691748">
        <w:tab/>
        <w:t xml:space="preserve">KSE-100 index is used as proxy of market risk. KSE-100 index contains top 100 firms which are selected on the bases of their market capitalization. Beta is the measure of systematic risk and has </w:t>
      </w:r>
      <w:proofErr w:type="spellStart"/>
      <w:r w:rsidRPr="00691748">
        <w:t>alinear</w:t>
      </w:r>
      <w:proofErr w:type="spellEnd"/>
      <w:r w:rsidRPr="00691748">
        <w:t xml:space="preserve"> relationship with return (Horn, 1993). High risk is associated with high return (</w:t>
      </w:r>
      <w:proofErr w:type="spellStart"/>
      <w:r w:rsidRPr="00691748">
        <w:t>Basu</w:t>
      </w:r>
      <w:proofErr w:type="spellEnd"/>
      <w:r w:rsidRPr="00691748">
        <w:t xml:space="preserve">, 1977, </w:t>
      </w:r>
      <w:proofErr w:type="spellStart"/>
      <w:r w:rsidRPr="00691748">
        <w:t>Reiganum</w:t>
      </w:r>
      <w:proofErr w:type="spellEnd"/>
      <w:r w:rsidRPr="00691748">
        <w:t xml:space="preserve">, 1981 and Gibbons, 1982). </w:t>
      </w:r>
      <w:proofErr w:type="spellStart"/>
      <w:r w:rsidRPr="00691748">
        <w:t>Fama</w:t>
      </w:r>
      <w:proofErr w:type="spellEnd"/>
      <w:r w:rsidRPr="00691748">
        <w:t xml:space="preserve"> and </w:t>
      </w:r>
      <w:proofErr w:type="spellStart"/>
      <w:r w:rsidRPr="00691748">
        <w:t>MacBeth</w:t>
      </w:r>
      <w:proofErr w:type="spellEnd"/>
      <w:r w:rsidRPr="00691748">
        <w:t xml:space="preserve"> (1973) suggested the existence of a significant linear positive relation between realized return and systematic risk as measured by β. But on the other side some empirical results showed that high risk is not associated with high return (</w:t>
      </w:r>
      <w:proofErr w:type="spellStart"/>
      <w:r w:rsidRPr="00691748">
        <w:t>Michailidis</w:t>
      </w:r>
      <w:proofErr w:type="spellEnd"/>
      <w:r w:rsidRPr="00691748">
        <w:t xml:space="preserve"> et al. 2006, </w:t>
      </w:r>
      <w:proofErr w:type="spellStart"/>
      <w:r w:rsidRPr="00691748">
        <w:t>Hanif</w:t>
      </w:r>
      <w:proofErr w:type="spellEnd"/>
      <w:r w:rsidRPr="00691748">
        <w:t xml:space="preserve">, 2009). </w:t>
      </w:r>
      <w:proofErr w:type="spellStart"/>
      <w:r w:rsidRPr="00691748">
        <w:t>Mollah</w:t>
      </w:r>
      <w:proofErr w:type="spellEnd"/>
      <w:r w:rsidRPr="00691748">
        <w:t xml:space="preserve"> and Jamil (2003) suggested </w:t>
      </w:r>
      <w:proofErr w:type="spellStart"/>
      <w:r w:rsidRPr="00691748">
        <w:t>thatrisk</w:t>
      </w:r>
      <w:proofErr w:type="spellEnd"/>
      <w:r w:rsidRPr="00691748">
        <w:t xml:space="preserve">-return relationship is </w:t>
      </w:r>
      <w:proofErr w:type="spellStart"/>
      <w:r w:rsidRPr="00691748">
        <w:t>notlinear</w:t>
      </w:r>
      <w:proofErr w:type="spellEnd"/>
      <w:r w:rsidRPr="00691748">
        <w:t xml:space="preserve"> perhaps due to high volatility.</w:t>
      </w:r>
    </w:p>
    <w:p w:rsidR="00C26B91" w:rsidRDefault="00C26B91" w:rsidP="00C26B91">
      <w:pPr>
        <w:jc w:val="both"/>
        <w:rPr>
          <w:b/>
          <w:bCs/>
        </w:rPr>
      </w:pPr>
    </w:p>
    <w:p w:rsidR="00C26B91" w:rsidRPr="00691748" w:rsidRDefault="00C26B91" w:rsidP="00C26B91">
      <w:pPr>
        <w:jc w:val="both"/>
        <w:rPr>
          <w:b/>
          <w:bCs/>
        </w:rPr>
      </w:pPr>
      <w:r w:rsidRPr="00691748">
        <w:rPr>
          <w:b/>
          <w:bCs/>
        </w:rPr>
        <w:t>3.4Statistical tools and econometric models</w:t>
      </w:r>
    </w:p>
    <w:p w:rsidR="00C26B91" w:rsidRPr="00691748" w:rsidRDefault="00C26B91" w:rsidP="00C26B91">
      <w:pPr>
        <w:jc w:val="both"/>
      </w:pPr>
      <w:r w:rsidRPr="00691748">
        <w:tab/>
        <w:t>This section elaborates the proper statistical/econometric/financial models which are being used to forward the study from data towards inferences. The detail of methodology is given as follows.</w:t>
      </w:r>
    </w:p>
    <w:p w:rsidR="00C26B91" w:rsidRPr="00691748" w:rsidRDefault="00C26B91" w:rsidP="00C26B91">
      <w:pPr>
        <w:jc w:val="both"/>
        <w:rPr>
          <w:b/>
          <w:bCs/>
        </w:rPr>
      </w:pPr>
      <w:r w:rsidRPr="00691748">
        <w:rPr>
          <w:b/>
        </w:rPr>
        <w:t>3.4.1 Descriptive Statistics</w:t>
      </w:r>
    </w:p>
    <w:p w:rsidR="00C26B91" w:rsidRPr="00691748" w:rsidRDefault="00C26B91" w:rsidP="00C26B91">
      <w:pPr>
        <w:jc w:val="both"/>
      </w:pPr>
      <w:r w:rsidRPr="00691748">
        <w:tab/>
        <w:t xml:space="preserve">Descriptive Statics </w:t>
      </w:r>
      <w:r w:rsidRPr="00691748">
        <w:rPr>
          <w:bCs/>
        </w:rPr>
        <w:t xml:space="preserve">has been used to find the maximum, minimum, standard deviation, mean and normally distribution of the data of all the variables of the study. Normal distribution of data shows the sensitivity of the variables towards the periodic changes and speculation. When the data is not normally distributed it means that the data is sensitive towards periodic changes and speculations which create the chances of arbitrage and the investors have the chance to earn above the normal profit. But the assumption of the APT is that there should not be arbitrage in the market and the investors can earn only normal profit. </w:t>
      </w:r>
      <w:proofErr w:type="spellStart"/>
      <w:r w:rsidRPr="00691748">
        <w:rPr>
          <w:bCs/>
        </w:rPr>
        <w:t>Jarque</w:t>
      </w:r>
      <w:proofErr w:type="spellEnd"/>
      <w:r w:rsidRPr="00691748">
        <w:rPr>
          <w:bCs/>
        </w:rPr>
        <w:t xml:space="preserve"> </w:t>
      </w:r>
      <w:proofErr w:type="spellStart"/>
      <w:r w:rsidRPr="00691748">
        <w:rPr>
          <w:bCs/>
        </w:rPr>
        <w:t>bera</w:t>
      </w:r>
      <w:proofErr w:type="spellEnd"/>
      <w:r w:rsidRPr="00691748">
        <w:rPr>
          <w:bCs/>
        </w:rPr>
        <w:t xml:space="preserve"> test is used to test the normality of data.</w:t>
      </w:r>
    </w:p>
    <w:p w:rsidR="00C26B91" w:rsidRPr="00691748" w:rsidRDefault="00C26B91" w:rsidP="00C26B91">
      <w:pPr>
        <w:jc w:val="both"/>
        <w:rPr>
          <w:b/>
          <w:color w:val="000000"/>
        </w:rPr>
      </w:pPr>
    </w:p>
    <w:p w:rsidR="00C26B91" w:rsidRPr="00691748" w:rsidRDefault="00C26B91" w:rsidP="00C26B91">
      <w:pPr>
        <w:jc w:val="both"/>
        <w:rPr>
          <w:b/>
          <w:color w:val="000000"/>
        </w:rPr>
      </w:pPr>
      <w:r w:rsidRPr="00691748">
        <w:rPr>
          <w:b/>
          <w:color w:val="000000"/>
        </w:rPr>
        <w:t xml:space="preserve">3.4.2 </w:t>
      </w:r>
      <w:proofErr w:type="spellStart"/>
      <w:r w:rsidRPr="00691748">
        <w:rPr>
          <w:b/>
          <w:color w:val="000000"/>
        </w:rPr>
        <w:t>Fama-Mcbeth</w:t>
      </w:r>
      <w:proofErr w:type="spellEnd"/>
      <w:r w:rsidRPr="00691748">
        <w:rPr>
          <w:b/>
          <w:color w:val="000000"/>
        </w:rPr>
        <w:t xml:space="preserve"> two pass regression</w:t>
      </w:r>
      <w:r w:rsidRPr="00691748">
        <w:rPr>
          <w:b/>
          <w:color w:val="000000"/>
        </w:rPr>
        <w:tab/>
      </w:r>
    </w:p>
    <w:p w:rsidR="00C26B91" w:rsidRPr="00691748" w:rsidRDefault="00C26B91" w:rsidP="00C26B91">
      <w:pPr>
        <w:jc w:val="both"/>
        <w:rPr>
          <w:color w:val="000000"/>
        </w:rPr>
      </w:pPr>
      <w:r w:rsidRPr="00691748">
        <w:rPr>
          <w:color w:val="000000"/>
        </w:rPr>
        <w:tab/>
        <w:t xml:space="preserve">After the test statistics the methodology is following the next step in order to test the asset pricing models. When testing asset pricing models related to risk premium on asset to their betas, the primary question of interest is whether the beta risk of particular factor is priced. </w:t>
      </w:r>
      <w:proofErr w:type="spellStart"/>
      <w:r w:rsidRPr="00691748">
        <w:rPr>
          <w:color w:val="000000"/>
        </w:rPr>
        <w:t>Fama</w:t>
      </w:r>
      <w:proofErr w:type="spellEnd"/>
      <w:r w:rsidRPr="00691748">
        <w:rPr>
          <w:color w:val="000000"/>
        </w:rPr>
        <w:t xml:space="preserve"> and </w:t>
      </w:r>
      <w:proofErr w:type="spellStart"/>
      <w:proofErr w:type="gramStart"/>
      <w:r w:rsidRPr="00691748">
        <w:rPr>
          <w:color w:val="000000"/>
        </w:rPr>
        <w:t>McBeth</w:t>
      </w:r>
      <w:proofErr w:type="spellEnd"/>
      <w:r w:rsidRPr="00691748">
        <w:rPr>
          <w:color w:val="000000"/>
        </w:rPr>
        <w:t>(</w:t>
      </w:r>
      <w:proofErr w:type="gramEnd"/>
      <w:r w:rsidRPr="00691748">
        <w:rPr>
          <w:color w:val="000000"/>
        </w:rPr>
        <w:t xml:space="preserve">1973)develop a two pass methodology in which the beta of each asset with respect to </w:t>
      </w:r>
      <w:r w:rsidRPr="00691748">
        <w:rPr>
          <w:color w:val="000000"/>
        </w:rPr>
        <w:lastRenderedPageBreak/>
        <w:t xml:space="preserve">a factor is estimated in a first pass time series regression and estimated betas are then used in second pass cross sectional regression to estimate the risk premium of the factor. According to Blum (1968) testing two-parameter models immediately presents an unavoidable errors-in-the variables </w:t>
      </w:r>
      <w:proofErr w:type="spellStart"/>
      <w:r w:rsidRPr="00691748">
        <w:rPr>
          <w:color w:val="000000"/>
        </w:rPr>
        <w:t>problem.It</w:t>
      </w:r>
      <w:proofErr w:type="spellEnd"/>
      <w:r w:rsidRPr="00691748">
        <w:rPr>
          <w:color w:val="000000"/>
        </w:rPr>
        <w:t xml:space="preserve"> is important to note that portfolios (rather than individual assets) are used for the reason of making the analysis statistically </w:t>
      </w:r>
      <w:proofErr w:type="spellStart"/>
      <w:r w:rsidRPr="00691748">
        <w:rPr>
          <w:color w:val="000000"/>
        </w:rPr>
        <w:t>feasible.Fama</w:t>
      </w:r>
      <w:proofErr w:type="spellEnd"/>
      <w:r w:rsidRPr="00691748">
        <w:rPr>
          <w:color w:val="000000"/>
        </w:rPr>
        <w:t xml:space="preserve"> </w:t>
      </w:r>
      <w:proofErr w:type="spellStart"/>
      <w:r w:rsidRPr="00691748">
        <w:rPr>
          <w:color w:val="000000"/>
        </w:rPr>
        <w:t>McBeth</w:t>
      </w:r>
      <w:proofErr w:type="spellEnd"/>
      <w:r w:rsidRPr="00691748">
        <w:rPr>
          <w:color w:val="000000"/>
        </w:rPr>
        <w:t xml:space="preserve"> regression is used to attenuate the problem of errors-in-variables (EIV) for two parameter models (Campbell, Lo and </w:t>
      </w:r>
      <w:proofErr w:type="spellStart"/>
      <w:r w:rsidRPr="00691748">
        <w:rPr>
          <w:color w:val="000000"/>
        </w:rPr>
        <w:t>MacKinlay</w:t>
      </w:r>
      <w:proofErr w:type="spellEnd"/>
      <w:r w:rsidRPr="00691748">
        <w:rPr>
          <w:color w:val="000000"/>
        </w:rPr>
        <w:t>, 1997).If the errors are in the β (beta)of individual security are not perfectly positively correlated, the β of portfolios can be much more precise estimates of the true β (Blum, 1968).</w:t>
      </w:r>
    </w:p>
    <w:p w:rsidR="00C26B91" w:rsidRPr="00691748" w:rsidRDefault="00C26B91" w:rsidP="00C26B91">
      <w:pPr>
        <w:jc w:val="both"/>
        <w:rPr>
          <w:rFonts w:eastAsia="Times New Roman"/>
          <w:color w:val="000000"/>
          <w:lang w:eastAsia="en-GB"/>
        </w:rPr>
      </w:pPr>
      <w:r w:rsidRPr="00691748">
        <w:rPr>
          <w:color w:val="000000"/>
        </w:rPr>
        <w:tab/>
        <w:t xml:space="preserve">The study follow </w:t>
      </w:r>
      <w:proofErr w:type="spellStart"/>
      <w:r w:rsidRPr="00691748">
        <w:rPr>
          <w:color w:val="000000"/>
        </w:rPr>
        <w:t>Fama</w:t>
      </w:r>
      <w:proofErr w:type="spellEnd"/>
      <w:r w:rsidRPr="00691748">
        <w:rPr>
          <w:color w:val="000000"/>
        </w:rPr>
        <w:t xml:space="preserve"> and </w:t>
      </w:r>
      <w:proofErr w:type="spellStart"/>
      <w:r w:rsidRPr="00691748">
        <w:rPr>
          <w:color w:val="000000"/>
        </w:rPr>
        <w:t>McBeth</w:t>
      </w:r>
      <w:proofErr w:type="spellEnd"/>
      <w:r w:rsidRPr="00691748">
        <w:rPr>
          <w:color w:val="000000"/>
        </w:rPr>
        <w:t xml:space="preserve"> two pass </w:t>
      </w:r>
      <w:proofErr w:type="spellStart"/>
      <w:r w:rsidRPr="00691748">
        <w:rPr>
          <w:color w:val="000000"/>
        </w:rPr>
        <w:t>regressionto</w:t>
      </w:r>
      <w:proofErr w:type="spellEnd"/>
      <w:r w:rsidRPr="00691748">
        <w:rPr>
          <w:color w:val="000000"/>
        </w:rPr>
        <w:t xml:space="preserve"> test these asset pricing </w:t>
      </w:r>
      <w:proofErr w:type="spellStart"/>
      <w:proofErr w:type="gramStart"/>
      <w:r w:rsidRPr="00691748">
        <w:rPr>
          <w:color w:val="000000"/>
        </w:rPr>
        <w:t>models.The</w:t>
      </w:r>
      <w:proofErr w:type="spellEnd"/>
      <w:proofErr w:type="gramEnd"/>
      <w:r w:rsidRPr="00691748">
        <w:rPr>
          <w:color w:val="000000"/>
        </w:rPr>
        <w:t xml:space="preserve"> Durbin Watson is used to check serial correlation and measures the linear association between adjacent residuals from a regression model. If there is no serial correlation, the DW statistic will be around 2. The DW statistic will fall if there is positive serial correlation (in worst case, it will be near zero). If there is a negative correlation, </w:t>
      </w:r>
      <w:proofErr w:type="spellStart"/>
      <w:r w:rsidRPr="00691748">
        <w:rPr>
          <w:color w:val="000000"/>
        </w:rPr>
        <w:t>thestatistic</w:t>
      </w:r>
      <w:proofErr w:type="spellEnd"/>
      <w:r w:rsidRPr="00691748">
        <w:rPr>
          <w:color w:val="000000"/>
        </w:rPr>
        <w:t xml:space="preserve"> will lie somewhere between 2 and 4. Usually the limit for non-serial correlation is considered to be DW is from 1.8 to 2.2. A very strong positive serial correlation is considered at DW lower than 1.5 (</w:t>
      </w:r>
      <w:r w:rsidRPr="00691748">
        <w:rPr>
          <w:lang w:val="en-GB"/>
        </w:rPr>
        <w:t>Richardson and smith, 1993)</w:t>
      </w:r>
      <w:r w:rsidRPr="00691748">
        <w:rPr>
          <w:color w:val="000000"/>
        </w:rPr>
        <w:t>.</w:t>
      </w:r>
    </w:p>
    <w:p w:rsidR="00C26B91" w:rsidRPr="00691748" w:rsidRDefault="00C26B91" w:rsidP="00C26B91">
      <w:pPr>
        <w:jc w:val="both"/>
        <w:rPr>
          <w:rFonts w:eastAsia="Times New Roman"/>
          <w:color w:val="000000"/>
          <w:lang w:eastAsia="en-GB"/>
        </w:rPr>
      </w:pPr>
    </w:p>
    <w:p w:rsidR="00C26B91" w:rsidRPr="00691748" w:rsidRDefault="00C26B91" w:rsidP="00C26B91">
      <w:pPr>
        <w:jc w:val="both"/>
        <w:rPr>
          <w:rFonts w:eastAsia="Times New Roman"/>
          <w:color w:val="000000"/>
          <w:lang w:eastAsia="en-GB"/>
        </w:rPr>
      </w:pPr>
      <w:r w:rsidRPr="00691748">
        <w:rPr>
          <w:rFonts w:eastAsia="Times New Roman"/>
          <w:color w:val="000000"/>
          <w:lang w:eastAsia="en-GB"/>
        </w:rPr>
        <w:tab/>
        <w:t xml:space="preserve">According to </w:t>
      </w:r>
      <w:r w:rsidRPr="00691748">
        <w:rPr>
          <w:lang w:val="en-GB"/>
        </w:rPr>
        <w:t xml:space="preserve">Richardson and </w:t>
      </w:r>
      <w:proofErr w:type="gramStart"/>
      <w:r w:rsidRPr="00691748">
        <w:rPr>
          <w:lang w:val="en-GB"/>
        </w:rPr>
        <w:t>smith(</w:t>
      </w:r>
      <w:proofErr w:type="gramEnd"/>
      <w:r w:rsidRPr="00691748">
        <w:rPr>
          <w:lang w:val="en-GB"/>
        </w:rPr>
        <w:t xml:space="preserve">1993) </w:t>
      </w:r>
      <w:r w:rsidRPr="00691748">
        <w:rPr>
          <w:rFonts w:eastAsia="Times New Roman"/>
          <w:color w:val="000000"/>
          <w:lang w:eastAsia="en-GB"/>
        </w:rPr>
        <w:t>to make the model more effective and efficient the selection criteria for the shares in the period are: Shares with no missing values in the period, Shares with adjusted R</w:t>
      </w:r>
      <w:r w:rsidRPr="00691748">
        <w:rPr>
          <w:rFonts w:eastAsia="Times New Roman"/>
          <w:color w:val="000000"/>
          <w:vertAlign w:val="superscript"/>
          <w:lang w:eastAsia="en-GB"/>
        </w:rPr>
        <w:t xml:space="preserve">2 </w:t>
      </w:r>
      <w:r w:rsidRPr="00691748">
        <w:rPr>
          <w:rFonts w:eastAsia="Times New Roman"/>
          <w:color w:val="000000"/>
          <w:lang w:eastAsia="en-GB"/>
        </w:rPr>
        <w:t xml:space="preserve">&lt; 0 or F significant (p-value) &gt;0.05of the first pass regression of the excess returns on the market risk premium are excluded. And Shares are grouped by alphabetic order into group of 30 individual securities (Roll and Ross, 1980). </w:t>
      </w:r>
    </w:p>
    <w:p w:rsidR="00C26B91" w:rsidRPr="00691748" w:rsidRDefault="00C26B91" w:rsidP="00C26B91">
      <w:pPr>
        <w:jc w:val="both"/>
        <w:rPr>
          <w:b/>
          <w:bCs/>
        </w:rPr>
      </w:pPr>
    </w:p>
    <w:p w:rsidR="00C26B91" w:rsidRPr="00691748" w:rsidRDefault="00C26B91" w:rsidP="00C26B91">
      <w:pPr>
        <w:jc w:val="both"/>
        <w:rPr>
          <w:b/>
          <w:bCs/>
        </w:rPr>
      </w:pPr>
      <w:r w:rsidRPr="00691748">
        <w:rPr>
          <w:b/>
          <w:bCs/>
        </w:rPr>
        <w:t>3.4.2.1 Model for CAPM</w:t>
      </w:r>
    </w:p>
    <w:p w:rsidR="00C26B91" w:rsidRPr="00691748" w:rsidRDefault="00C26B91" w:rsidP="00C26B91">
      <w:pPr>
        <w:jc w:val="both"/>
      </w:pPr>
      <w:r w:rsidRPr="00691748">
        <w:t>In first pass the linear regression is used to estimate beta which is the systematic risk.</w:t>
      </w:r>
    </w:p>
    <w:p w:rsidR="00C26B91" w:rsidRPr="00691748" w:rsidRDefault="00D00EC6" w:rsidP="00C26B91">
      <w:pPr>
        <w:jc w:val="both"/>
      </w:pPr>
      <m:oMathPara>
        <m:oMath>
          <m:sSub>
            <m:sSubPr>
              <m:ctrlPr>
                <w:rPr>
                  <w:rFonts w:ascii="Cambria Math" w:hAnsi="Cambria Math"/>
                  <w:i/>
                </w:rPr>
              </m:ctrlPr>
            </m:sSubPr>
            <m:e>
              <m:r>
                <w:rPr>
                  <w:rFonts w:ascii="Cambria Math" w:hAnsi="Cambria Math"/>
                </w:rPr>
                <m:t>R</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f</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f</m:t>
                  </m:r>
                </m:sub>
              </m:sSub>
            </m:e>
          </m:d>
          <m:r>
            <w:rPr>
              <w:rFonts w:ascii="Cambria Math" w:hAnsi="Cambria Math"/>
            </w:rPr>
            <m:t>β                     (3.1)</m:t>
          </m:r>
        </m:oMath>
      </m:oMathPara>
    </w:p>
    <w:p w:rsidR="00C26B91" w:rsidRPr="00691748" w:rsidRDefault="00C26B91" w:rsidP="00C26B91">
      <w:pPr>
        <w:jc w:val="both"/>
      </w:pPr>
      <w:r w:rsidRPr="00691748">
        <w:t xml:space="preserve">Where </w:t>
      </w:r>
      <w:proofErr w:type="spellStart"/>
      <w:r w:rsidRPr="00691748">
        <w:t>R</w:t>
      </w:r>
      <w:r w:rsidRPr="00691748">
        <w:rPr>
          <w:vertAlign w:val="subscript"/>
        </w:rPr>
        <w:t>i</w:t>
      </w:r>
      <w:r w:rsidRPr="00691748">
        <w:t>isMonthly</w:t>
      </w:r>
      <w:proofErr w:type="spellEnd"/>
      <w:r w:rsidRPr="00691748">
        <w:t xml:space="preserve"> return of </w:t>
      </w:r>
      <w:proofErr w:type="spellStart"/>
      <w:r w:rsidRPr="00691748">
        <w:t>thesecurity</w:t>
      </w:r>
      <w:proofErr w:type="spellEnd"/>
      <w:r w:rsidRPr="00691748">
        <w:t xml:space="preserve">, </w:t>
      </w:r>
      <w:proofErr w:type="spellStart"/>
      <w:r w:rsidRPr="00691748">
        <w:t>R</w:t>
      </w:r>
      <w:r w:rsidRPr="00691748">
        <w:rPr>
          <w:vertAlign w:val="subscript"/>
        </w:rPr>
        <w:t>f</w:t>
      </w:r>
      <w:proofErr w:type="spellEnd"/>
      <w:r w:rsidRPr="00691748">
        <w:t xml:space="preserve"> </w:t>
      </w:r>
      <w:proofErr w:type="spellStart"/>
      <w:r w:rsidRPr="00691748">
        <w:t>isMonthly</w:t>
      </w:r>
      <w:proofErr w:type="spellEnd"/>
      <w:r w:rsidRPr="00691748">
        <w:t xml:space="preserve"> risk free rate, R</w:t>
      </w:r>
      <w:r w:rsidRPr="00691748">
        <w:rPr>
          <w:vertAlign w:val="subscript"/>
        </w:rPr>
        <w:t>m</w:t>
      </w:r>
      <w:r w:rsidRPr="00691748">
        <w:t xml:space="preserve"> </w:t>
      </w:r>
      <w:proofErr w:type="spellStart"/>
      <w:r w:rsidRPr="00691748">
        <w:t>isMonthly</w:t>
      </w:r>
      <w:proofErr w:type="spellEnd"/>
      <w:r w:rsidRPr="00691748">
        <w:t xml:space="preserve"> return of market and βis systematic risk (market risk).</w:t>
      </w:r>
    </w:p>
    <w:p w:rsidR="00C26B91" w:rsidRPr="00691748" w:rsidRDefault="00C26B91" w:rsidP="00C26B91">
      <w:pPr>
        <w:jc w:val="both"/>
      </w:pPr>
      <w:r w:rsidRPr="00691748">
        <w:tab/>
        <w:t xml:space="preserve">The excess returns </w:t>
      </w:r>
      <w:proofErr w:type="spellStart"/>
      <w:r w:rsidRPr="00691748">
        <w:t>R</w:t>
      </w:r>
      <w:r w:rsidRPr="00691748">
        <w:rPr>
          <w:vertAlign w:val="subscript"/>
        </w:rPr>
        <w:t>i</w:t>
      </w:r>
      <w:proofErr w:type="spellEnd"/>
      <w:r w:rsidRPr="00691748">
        <w:t xml:space="preserve"> - </w:t>
      </w:r>
      <w:proofErr w:type="spellStart"/>
      <w:r w:rsidRPr="00691748">
        <w:t>R</w:t>
      </w:r>
      <w:r w:rsidRPr="00691748">
        <w:rPr>
          <w:vertAlign w:val="subscript"/>
        </w:rPr>
        <w:t>f</w:t>
      </w:r>
      <w:proofErr w:type="spellEnd"/>
      <w:r w:rsidRPr="00691748">
        <w:t xml:space="preserve"> of each security is estimated from a time series share prices of KSE-100 index listed shares for each period under consideration. And for the same </w:t>
      </w:r>
      <w:proofErr w:type="spellStart"/>
      <w:r w:rsidRPr="00691748">
        <w:t>periodthe</w:t>
      </w:r>
      <w:proofErr w:type="spellEnd"/>
      <w:r w:rsidRPr="00691748">
        <w:t xml:space="preserve"> market Premium R</w:t>
      </w:r>
      <w:r w:rsidRPr="00691748">
        <w:rPr>
          <w:vertAlign w:val="subscript"/>
        </w:rPr>
        <w:t>m</w:t>
      </w:r>
      <w:r w:rsidRPr="00691748">
        <w:t xml:space="preserve"> - </w:t>
      </w:r>
      <w:proofErr w:type="spellStart"/>
      <w:r w:rsidRPr="00691748">
        <w:t>R</w:t>
      </w:r>
      <w:r w:rsidRPr="00691748">
        <w:rPr>
          <w:vertAlign w:val="subscript"/>
        </w:rPr>
        <w:t>f</w:t>
      </w:r>
      <w:r w:rsidRPr="00691748">
        <w:t>also</w:t>
      </w:r>
      <w:proofErr w:type="spellEnd"/>
      <w:r w:rsidRPr="00691748">
        <w:t xml:space="preserve"> estimated. After that regress the excess returns </w:t>
      </w:r>
      <w:proofErr w:type="spellStart"/>
      <w:r w:rsidRPr="00691748">
        <w:t>R</w:t>
      </w:r>
      <w:r w:rsidRPr="00691748">
        <w:rPr>
          <w:vertAlign w:val="subscript"/>
        </w:rPr>
        <w:t>i</w:t>
      </w:r>
      <w:proofErr w:type="spellEnd"/>
      <w:r w:rsidRPr="00691748">
        <w:t xml:space="preserve"> - </w:t>
      </w:r>
      <w:proofErr w:type="spellStart"/>
      <w:r w:rsidRPr="00691748">
        <w:t>R</w:t>
      </w:r>
      <w:r w:rsidRPr="00691748">
        <w:rPr>
          <w:vertAlign w:val="subscript"/>
        </w:rPr>
        <w:t>f</w:t>
      </w:r>
      <w:proofErr w:type="spellEnd"/>
      <w:r w:rsidRPr="00691748">
        <w:t xml:space="preserve"> on the market premium R</w:t>
      </w:r>
      <w:r w:rsidRPr="00691748">
        <w:rPr>
          <w:vertAlign w:val="subscript"/>
        </w:rPr>
        <w:t>m</w:t>
      </w:r>
      <w:r w:rsidRPr="00691748">
        <w:t xml:space="preserve"> - </w:t>
      </w:r>
      <w:proofErr w:type="spellStart"/>
      <w:r w:rsidRPr="00691748">
        <w:t>R</w:t>
      </w:r>
      <w:r w:rsidRPr="00691748">
        <w:rPr>
          <w:vertAlign w:val="subscript"/>
        </w:rPr>
        <w:t>f</w:t>
      </w:r>
      <w:r w:rsidRPr="00691748">
        <w:t>to</w:t>
      </w:r>
      <w:proofErr w:type="spellEnd"/>
      <w:r w:rsidRPr="00691748">
        <w:t xml:space="preserve"> find the beta coefficient (systematic risk).</w:t>
      </w:r>
    </w:p>
    <w:p w:rsidR="00C26B91" w:rsidRPr="00691748" w:rsidRDefault="00C26B91" w:rsidP="00C26B91">
      <w:pPr>
        <w:jc w:val="both"/>
      </w:pPr>
      <w:r w:rsidRPr="00691748">
        <w:t>Then a cross sectional regression or second pass regression is used on average excess returns of the shares and estimated betas.</w:t>
      </w:r>
    </w:p>
    <w:p w:rsidR="00C26B91" w:rsidRPr="00691748" w:rsidRDefault="00D00EC6" w:rsidP="00C26B91">
      <w:pPr>
        <w:jc w:val="both"/>
      </w:pPr>
      <m:oMathPara>
        <m:oMath>
          <m:sSub>
            <m:sSubPr>
              <m:ctrlPr>
                <w:rPr>
                  <w:rFonts w:ascii="Cambria Math" w:hAnsi="Cambria Math"/>
                  <w:i/>
                </w:rPr>
              </m:ctrlPr>
            </m:sSubPr>
            <m:e>
              <m:r>
                <m:rPr>
                  <m:sty m:val="p"/>
                </m:rPr>
                <w:rPr>
                  <w:rFonts w:ascii="Cambria Math" w:hAnsi="Cambria Math"/>
                </w:rPr>
                <m:t>Ȓ</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1</m:t>
              </m:r>
            </m:sub>
          </m:sSub>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m:t>
          </m:r>
          <m:r>
            <m:rPr>
              <m:sty m:val="p"/>
            </m:rPr>
            <w:rPr>
              <w:rFonts w:ascii="Cambria Math" w:hAnsi="Cambria Math"/>
            </w:rPr>
            <m:t>є                    (3.2)</m:t>
          </m:r>
        </m:oMath>
      </m:oMathPara>
    </w:p>
    <w:p w:rsidR="00C26B91" w:rsidRPr="00691748" w:rsidRDefault="00C26B91" w:rsidP="00C26B91">
      <w:pPr>
        <w:jc w:val="both"/>
      </w:pPr>
      <w:r w:rsidRPr="00691748">
        <w:t>Where ƛ</w:t>
      </w:r>
      <w:r w:rsidRPr="00691748">
        <w:rPr>
          <w:vertAlign w:val="subscript"/>
        </w:rPr>
        <w:t>0</w:t>
      </w:r>
      <w:r w:rsidRPr="00691748">
        <w:t xml:space="preserve">= intercept, </w:t>
      </w:r>
      <w:proofErr w:type="spellStart"/>
      <w:r w:rsidRPr="00691748">
        <w:t>Ȓ</w:t>
      </w:r>
      <w:r w:rsidRPr="00691748">
        <w:rPr>
          <w:vertAlign w:val="subscript"/>
        </w:rPr>
        <w:t>I</w:t>
      </w:r>
      <w:r w:rsidRPr="00691748">
        <w:t>is</w:t>
      </w:r>
      <w:proofErr w:type="spellEnd"/>
      <w:r w:rsidRPr="00691748">
        <w:t xml:space="preserve"> average excess returns of security </w:t>
      </w:r>
      <w:proofErr w:type="spellStart"/>
      <w:proofErr w:type="gramStart"/>
      <w:r w:rsidRPr="00691748">
        <w:t>i</w:t>
      </w:r>
      <w:proofErr w:type="spellEnd"/>
      <w:r w:rsidRPr="00691748">
        <w:t>,β</w:t>
      </w:r>
      <w:proofErr w:type="spellStart"/>
      <w:proofErr w:type="gramEnd"/>
      <w:r w:rsidRPr="00691748">
        <w:rPr>
          <w:vertAlign w:val="subscript"/>
        </w:rPr>
        <w:t>I</w:t>
      </w:r>
      <w:r w:rsidRPr="00691748">
        <w:t>isestimated</w:t>
      </w:r>
      <w:proofErr w:type="spellEnd"/>
      <w:r w:rsidRPr="00691748">
        <w:t xml:space="preserve"> be coefficient of security I and Є is error term.</w:t>
      </w:r>
    </w:p>
    <w:p w:rsidR="00C26B91" w:rsidRPr="00691748" w:rsidRDefault="00C26B91" w:rsidP="00C26B91">
      <w:pPr>
        <w:jc w:val="both"/>
        <w:rPr>
          <w:b/>
          <w:bCs/>
        </w:rPr>
      </w:pPr>
    </w:p>
    <w:p w:rsidR="00C26B91" w:rsidRPr="00691748" w:rsidRDefault="00C26B91" w:rsidP="00C26B91">
      <w:pPr>
        <w:jc w:val="both"/>
        <w:rPr>
          <w:b/>
          <w:bCs/>
        </w:rPr>
      </w:pPr>
    </w:p>
    <w:p w:rsidR="00C26B91" w:rsidRPr="00691748" w:rsidRDefault="00C26B91" w:rsidP="00C26B91">
      <w:pPr>
        <w:jc w:val="both"/>
        <w:rPr>
          <w:b/>
          <w:bCs/>
        </w:rPr>
      </w:pPr>
      <w:r w:rsidRPr="00691748">
        <w:rPr>
          <w:b/>
          <w:bCs/>
        </w:rPr>
        <w:t>3.4.2.2 Model for APT</w:t>
      </w:r>
    </w:p>
    <w:p w:rsidR="00C26B91" w:rsidRPr="00691748" w:rsidRDefault="00C26B91" w:rsidP="00C26B91">
      <w:pPr>
        <w:jc w:val="both"/>
      </w:pPr>
      <w:r w:rsidRPr="00691748">
        <w:t>In first pass the betas coefficients are computed by using regression.</w:t>
      </w:r>
    </w:p>
    <w:p w:rsidR="00C26B91" w:rsidRPr="00691748" w:rsidRDefault="00D00EC6" w:rsidP="00C26B91">
      <w:pPr>
        <w:jc w:val="both"/>
      </w:pPr>
      <m:oMathPara>
        <m:oMath>
          <m:sSub>
            <m:sSubPr>
              <m:ctrlPr>
                <w:rPr>
                  <w:rFonts w:ascii="Cambria Math" w:hAnsi="Cambria Math"/>
                  <w:i/>
                </w:rPr>
              </m:ctrlPr>
            </m:sSubPr>
            <m:e>
              <m:r>
                <w:rPr>
                  <w:rFonts w:ascii="Cambria Math" w:hAnsi="Cambria Math"/>
                </w:rPr>
                <m:t>R</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i2</m:t>
              </m:r>
            </m:sub>
          </m:sSub>
          <m:sSub>
            <m:sSubPr>
              <m:ctrlPr>
                <w:rPr>
                  <w:rFonts w:ascii="Cambria Math" w:hAnsi="Cambria Math"/>
                  <w:i/>
                </w:rPr>
              </m:ctrlPr>
            </m:sSubPr>
            <m:e>
              <m:r>
                <w:rPr>
                  <w:rFonts w:ascii="Cambria Math" w:hAnsi="Cambria Math"/>
                </w:rPr>
                <m:t>f</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i3</m:t>
              </m:r>
            </m:sub>
          </m:sSub>
          <m:sSub>
            <m:sSubPr>
              <m:ctrlPr>
                <w:rPr>
                  <w:rFonts w:ascii="Cambria Math" w:hAnsi="Cambria Math"/>
                  <w:i/>
                </w:rPr>
              </m:ctrlPr>
            </m:sSubPr>
            <m:e>
              <m:r>
                <w:rPr>
                  <w:rFonts w:ascii="Cambria Math" w:hAnsi="Cambria Math"/>
                </w:rPr>
                <m:t>f</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i4</m:t>
              </m:r>
            </m:sub>
          </m:sSub>
          <m:sSub>
            <m:sSubPr>
              <m:ctrlPr>
                <w:rPr>
                  <w:rFonts w:ascii="Cambria Math" w:hAnsi="Cambria Math"/>
                  <w:i/>
                </w:rPr>
              </m:ctrlPr>
            </m:sSubPr>
            <m:e>
              <m:r>
                <w:rPr>
                  <w:rFonts w:ascii="Cambria Math" w:hAnsi="Cambria Math"/>
                </w:rPr>
                <m:t>f</m:t>
              </m:r>
            </m:e>
            <m:sub>
              <m:r>
                <w:rPr>
                  <w:rFonts w:ascii="Cambria Math" w:hAnsi="Cambria Math"/>
                </w:rPr>
                <m:t>4</m:t>
              </m:r>
            </m:sub>
          </m:sSub>
          <m:r>
            <w:rPr>
              <w:rFonts w:ascii="Cambria Math" w:hAnsi="Cambria Math"/>
            </w:rPr>
            <m:t>+ϵ                 (3.3)</m:t>
          </m:r>
        </m:oMath>
      </m:oMathPara>
    </w:p>
    <w:p w:rsidR="00C26B91" w:rsidRPr="00691748" w:rsidRDefault="00C26B91" w:rsidP="00C26B91">
      <w:pPr>
        <w:jc w:val="both"/>
      </w:pPr>
      <w:r w:rsidRPr="00691748">
        <w:t xml:space="preserve">Where </w:t>
      </w:r>
      <w:proofErr w:type="spellStart"/>
      <w:r w:rsidRPr="00691748">
        <w:t>Ri</w:t>
      </w:r>
      <w:proofErr w:type="spellEnd"/>
      <w:r w:rsidRPr="00691748">
        <w:t xml:space="preserve"> is the monthly return of stock </w:t>
      </w:r>
      <w:proofErr w:type="spellStart"/>
      <w:r w:rsidRPr="00691748">
        <w:t>i,R</w:t>
      </w:r>
      <w:r w:rsidRPr="00691748">
        <w:rPr>
          <w:vertAlign w:val="subscript"/>
        </w:rPr>
        <w:t>f</w:t>
      </w:r>
      <w:proofErr w:type="spellEnd"/>
      <w:r w:rsidRPr="00691748">
        <w:t xml:space="preserve"> is risk free rate, β</w:t>
      </w:r>
      <w:proofErr w:type="spellStart"/>
      <w:r w:rsidRPr="00691748">
        <w:rPr>
          <w:vertAlign w:val="subscript"/>
        </w:rPr>
        <w:t>i</w:t>
      </w:r>
      <w:proofErr w:type="spellEnd"/>
      <w:r w:rsidRPr="00691748">
        <w:rPr>
          <w:vertAlign w:val="subscript"/>
        </w:rPr>
        <w:t xml:space="preserve"> </w:t>
      </w:r>
      <w:r w:rsidRPr="00691748">
        <w:t xml:space="preserve">is the sensitivity of stock </w:t>
      </w:r>
      <w:proofErr w:type="spellStart"/>
      <w:r w:rsidRPr="00691748">
        <w:t>i</w:t>
      </w:r>
      <w:proofErr w:type="spellEnd"/>
      <w:r w:rsidRPr="00691748">
        <w:t xml:space="preserve"> with factors and </w:t>
      </w:r>
      <m:oMath>
        <m:r>
          <w:rPr>
            <w:rFonts w:ascii="Cambria Math" w:hAnsi="Cambria Math"/>
          </w:rPr>
          <m:t>ϵ</m:t>
        </m:r>
      </m:oMath>
      <w:r w:rsidRPr="00691748">
        <w:t xml:space="preserve"> is the error term.</w:t>
      </w:r>
    </w:p>
    <w:p w:rsidR="00C26B91" w:rsidRPr="00691748" w:rsidRDefault="00C26B91" w:rsidP="00C26B91">
      <w:pPr>
        <w:jc w:val="both"/>
      </w:pPr>
      <w:r w:rsidRPr="00691748">
        <w:t>Then a cross sectional regression or second pass regression is used on average excess returns of the shares on the factor scores.</w:t>
      </w:r>
    </w:p>
    <w:p w:rsidR="00C26B91" w:rsidRPr="00691748" w:rsidRDefault="00C26B91" w:rsidP="00C26B91">
      <w:pPr>
        <w:jc w:val="both"/>
      </w:pPr>
      <m:oMathPara>
        <m:oMath>
          <m:r>
            <m:rPr>
              <m:sty m:val="p"/>
            </m:rPr>
            <w:rPr>
              <w:rFonts w:ascii="Cambria Math" w:hAnsi="Cambria Math"/>
            </w:rPr>
            <m:t>Ȓ=</m:t>
          </m:r>
          <m:sSub>
            <m:sSubPr>
              <m:ctrlPr>
                <w:rPr>
                  <w:rFonts w:ascii="Cambria Math" w:hAnsi="Cambria Math"/>
                </w:rPr>
              </m:ctrlPr>
            </m:sSubPr>
            <m:e>
              <m:r>
                <m:rPr>
                  <m:sty m:val="p"/>
                </m:rPr>
                <w:rPr>
                  <w:rFonts w:ascii="Cambria Math" w:hAnsi="Cambria Math"/>
                </w:rPr>
                <m:t>γ</m:t>
              </m:r>
            </m:e>
            <m:sub>
              <m:r>
                <w:rPr>
                  <w:rFonts w:ascii="Cambria Math" w:hAnsi="Cambria Math"/>
                </w:rPr>
                <m:t>0</m:t>
              </m:r>
            </m:sub>
          </m:sSub>
          <m:r>
            <w:rPr>
              <w:rFonts w:ascii="Cambria Math" w:hAnsi="Cambria Math"/>
            </w:rPr>
            <m:t>+</m:t>
          </m:r>
          <m:sSub>
            <m:sSubPr>
              <m:ctrlPr>
                <w:rPr>
                  <w:rFonts w:ascii="Cambria Math" w:hAnsi="Cambria Math"/>
                  <w:i/>
                </w:rPr>
              </m:ctrlPr>
            </m:sSubPr>
            <m:e>
              <m:r>
                <m:rPr>
                  <m:sty m:val="p"/>
                </m:rPr>
                <w:rPr>
                  <w:rFonts w:ascii="Cambria Math" w:hAnsi="Cambria Math"/>
                </w:rPr>
                <m:t>γ</m:t>
              </m:r>
            </m:e>
            <m:sub>
              <m:r>
                <w:rPr>
                  <w:rFonts w:ascii="Cambria Math" w:hAnsi="Cambria Math"/>
                </w:rPr>
                <m:t>1</m:t>
              </m:r>
            </m:sub>
          </m:sSub>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m:t>
          </m:r>
          <m:sSub>
            <m:sSubPr>
              <m:ctrlPr>
                <w:rPr>
                  <w:rFonts w:ascii="Cambria Math" w:hAnsi="Cambria Math"/>
                  <w:i/>
                </w:rPr>
              </m:ctrlPr>
            </m:sSubPr>
            <m:e>
              <m:r>
                <m:rPr>
                  <m:sty m:val="p"/>
                </m:rPr>
                <w:rPr>
                  <w:rFonts w:ascii="Cambria Math" w:hAnsi="Cambria Math"/>
                </w:rPr>
                <m:t>γ</m:t>
              </m:r>
            </m:e>
            <m:sub>
              <m:r>
                <w:rPr>
                  <w:rFonts w:ascii="Cambria Math" w:hAnsi="Cambria Math"/>
                </w:rPr>
                <m:t>2</m:t>
              </m:r>
            </m:sub>
          </m:sSub>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m:t>
          </m:r>
          <m:sSub>
            <m:sSubPr>
              <m:ctrlPr>
                <w:rPr>
                  <w:rFonts w:ascii="Cambria Math" w:hAnsi="Cambria Math"/>
                  <w:i/>
                </w:rPr>
              </m:ctrlPr>
            </m:sSubPr>
            <m:e>
              <m:r>
                <m:rPr>
                  <m:sty m:val="p"/>
                </m:rPr>
                <w:rPr>
                  <w:rFonts w:ascii="Cambria Math" w:hAnsi="Cambria Math"/>
                </w:rPr>
                <m:t>γ</m:t>
              </m:r>
            </m:e>
            <m:sub>
              <m:r>
                <w:rPr>
                  <w:rFonts w:ascii="Cambria Math" w:hAnsi="Cambria Math"/>
                </w:rPr>
                <m:t>3</m:t>
              </m:r>
            </m:sub>
          </m:sSub>
          <m:sSub>
            <m:sSubPr>
              <m:ctrlPr>
                <w:rPr>
                  <w:rFonts w:ascii="Cambria Math" w:hAnsi="Cambria Math"/>
                  <w:i/>
                </w:rPr>
              </m:ctrlPr>
            </m:sSubPr>
            <m:e>
              <m:r>
                <w:rPr>
                  <w:rFonts w:ascii="Cambria Math" w:hAnsi="Cambria Math"/>
                </w:rPr>
                <m:t>β</m:t>
              </m:r>
            </m:e>
            <m:sub>
              <m:r>
                <w:rPr>
                  <w:rFonts w:ascii="Cambria Math" w:hAnsi="Cambria Math"/>
                </w:rPr>
                <m:t>3</m:t>
              </m:r>
            </m:sub>
          </m:sSub>
          <m:r>
            <w:rPr>
              <w:rFonts w:ascii="Cambria Math" w:hAnsi="Cambria Math"/>
            </w:rPr>
            <m:t>+</m:t>
          </m:r>
          <m:sSub>
            <m:sSubPr>
              <m:ctrlPr>
                <w:rPr>
                  <w:rFonts w:ascii="Cambria Math" w:hAnsi="Cambria Math"/>
                  <w:i/>
                </w:rPr>
              </m:ctrlPr>
            </m:sSubPr>
            <m:e>
              <m:r>
                <m:rPr>
                  <m:sty m:val="p"/>
                </m:rPr>
                <w:rPr>
                  <w:rFonts w:ascii="Cambria Math" w:hAnsi="Cambria Math"/>
                </w:rPr>
                <m:t>γ</m:t>
              </m:r>
            </m:e>
            <m:sub>
              <m:r>
                <w:rPr>
                  <w:rFonts w:ascii="Cambria Math" w:hAnsi="Cambria Math"/>
                </w:rPr>
                <m:t>4</m:t>
              </m:r>
            </m:sub>
          </m:sSub>
          <m:sSub>
            <m:sSubPr>
              <m:ctrlPr>
                <w:rPr>
                  <w:rFonts w:ascii="Cambria Math" w:hAnsi="Cambria Math"/>
                  <w:i/>
                </w:rPr>
              </m:ctrlPr>
            </m:sSubPr>
            <m:e>
              <m:r>
                <w:rPr>
                  <w:rFonts w:ascii="Cambria Math" w:hAnsi="Cambria Math"/>
                </w:rPr>
                <m:t>β</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i</m:t>
              </m:r>
            </m:sub>
          </m:sSub>
          <m:r>
            <w:rPr>
              <w:rFonts w:ascii="Cambria Math" w:hAnsi="Cambria Math"/>
            </w:rPr>
            <m:t xml:space="preserve">             (3.4)</m:t>
          </m:r>
        </m:oMath>
      </m:oMathPara>
    </w:p>
    <w:p w:rsidR="00C26B91" w:rsidRPr="00691748" w:rsidRDefault="00C26B91" w:rsidP="00C26B91">
      <w:pPr>
        <w:jc w:val="both"/>
      </w:pPr>
      <w:proofErr w:type="spellStart"/>
      <w:r w:rsidRPr="00691748">
        <w:t>WhereȒ</w:t>
      </w:r>
      <w:proofErr w:type="spellEnd"/>
      <w:r w:rsidRPr="00691748">
        <w:t xml:space="preserve"> is average monthly excess return of stock I, ƛ = risk premium, β</w:t>
      </w:r>
      <w:r w:rsidRPr="00691748">
        <w:rPr>
          <w:vertAlign w:val="subscript"/>
        </w:rPr>
        <w:t xml:space="preserve">1 </w:t>
      </w:r>
      <w:r w:rsidRPr="00691748">
        <w:t>to β</w:t>
      </w:r>
      <w:r w:rsidRPr="00691748">
        <w:rPr>
          <w:vertAlign w:val="subscript"/>
        </w:rPr>
        <w:t>4</w:t>
      </w:r>
      <w:r w:rsidRPr="00691748">
        <w:t xml:space="preserve"> are the factors scores and </w:t>
      </w:r>
      <w:proofErr w:type="spellStart"/>
      <w:r w:rsidRPr="00691748">
        <w:t>ε</w:t>
      </w:r>
      <w:r w:rsidRPr="00691748">
        <w:rPr>
          <w:vertAlign w:val="subscript"/>
        </w:rPr>
        <w:t>i</w:t>
      </w:r>
      <w:proofErr w:type="spellEnd"/>
      <w:r w:rsidRPr="00691748">
        <w:t xml:space="preserve"> is the error term.</w:t>
      </w:r>
    </w:p>
    <w:p w:rsidR="00C26B91" w:rsidRPr="00691748" w:rsidRDefault="00C26B91" w:rsidP="00C26B91">
      <w:pPr>
        <w:jc w:val="both"/>
        <w:rPr>
          <w:b/>
        </w:rPr>
      </w:pPr>
    </w:p>
    <w:p w:rsidR="00C26B91" w:rsidRPr="00691748" w:rsidRDefault="00C26B91" w:rsidP="00C26B91">
      <w:pPr>
        <w:jc w:val="both"/>
        <w:rPr>
          <w:b/>
        </w:rPr>
      </w:pPr>
      <w:r w:rsidRPr="00691748">
        <w:rPr>
          <w:b/>
        </w:rPr>
        <w:t>3.4.3 Comparison of the Models</w:t>
      </w:r>
    </w:p>
    <w:p w:rsidR="00C26B91" w:rsidRPr="00691748" w:rsidRDefault="00C26B91" w:rsidP="00C26B91">
      <w:pPr>
        <w:jc w:val="both"/>
      </w:pPr>
      <w:r w:rsidRPr="00691748">
        <w:tab/>
        <w:t xml:space="preserve">The next step of the study is to compare these competing models to evaluate that which one of these models is more supported by </w:t>
      </w:r>
      <w:proofErr w:type="spellStart"/>
      <w:proofErr w:type="gramStart"/>
      <w:r w:rsidRPr="00691748">
        <w:t>data.This</w:t>
      </w:r>
      <w:proofErr w:type="spellEnd"/>
      <w:proofErr w:type="gramEnd"/>
      <w:r w:rsidRPr="00691748">
        <w:t xml:space="preserve"> study follows the methods used by Chen (1983), the Davidson and Mackinnon equation (1981) and the posterior odds ratio (</w:t>
      </w:r>
      <w:proofErr w:type="spellStart"/>
      <w:r w:rsidRPr="00691748">
        <w:t>Zellner</w:t>
      </w:r>
      <w:proofErr w:type="spellEnd"/>
      <w:r w:rsidRPr="00691748">
        <w:t>, 1979) for comparison of these Models.</w:t>
      </w:r>
    </w:p>
    <w:p w:rsidR="00C26B91" w:rsidRPr="00691748" w:rsidRDefault="00C26B91" w:rsidP="00C26B91">
      <w:pPr>
        <w:jc w:val="both"/>
      </w:pPr>
    </w:p>
    <w:p w:rsidR="00C26B91" w:rsidRPr="00691748" w:rsidRDefault="00C26B91" w:rsidP="00C26B91">
      <w:pPr>
        <w:jc w:val="both"/>
        <w:rPr>
          <w:b/>
        </w:rPr>
      </w:pPr>
      <w:r w:rsidRPr="00691748">
        <w:rPr>
          <w:b/>
        </w:rPr>
        <w:t>3.4.3.1 Davidson and MacKinnon Equation</w:t>
      </w:r>
    </w:p>
    <w:p w:rsidR="00C26B91" w:rsidRPr="00691748" w:rsidRDefault="00C26B91" w:rsidP="00C26B91">
      <w:pPr>
        <w:jc w:val="both"/>
      </w:pPr>
      <w:r w:rsidRPr="00691748">
        <w:tab/>
        <w:t xml:space="preserve">CAPM is considered the particular or strictly case of APT. These two models are non-nested because by imposing a set of linear restrictions on the parameters the APT cannot be reduced to CAPM. In other </w:t>
      </w:r>
      <w:proofErr w:type="gramStart"/>
      <w:r w:rsidRPr="00691748">
        <w:t>words</w:t>
      </w:r>
      <w:proofErr w:type="gramEnd"/>
      <w:r w:rsidRPr="00691748">
        <w:t xml:space="preserve"> the models do not have any common variable. Davidson and MacKinnon (1981) suggested the method to compare non-nested models. The study used the Davidson and MacKinnon equation (1981) to compare CAPM and APT.</w:t>
      </w:r>
    </w:p>
    <w:p w:rsidR="00C26B91" w:rsidRPr="00691748" w:rsidRDefault="00C26B91" w:rsidP="00C26B91">
      <w:pPr>
        <w:jc w:val="both"/>
      </w:pPr>
      <w:r w:rsidRPr="00691748">
        <w:t>This equation is as follows;</w:t>
      </w:r>
    </w:p>
    <w:p w:rsidR="00C26B91" w:rsidRPr="00691748" w:rsidRDefault="00D00EC6" w:rsidP="00C26B91">
      <w:pPr>
        <w:jc w:val="both"/>
      </w:pPr>
      <m:oMathPara>
        <m:oMath>
          <m:sSub>
            <m:sSubPr>
              <m:ctrlPr>
                <w:rPr>
                  <w:rFonts w:ascii="Cambria Math" w:hAnsi="Cambria Math"/>
                  <w:i/>
                </w:rPr>
              </m:ctrlPr>
            </m:sSubPr>
            <m:e>
              <m:r>
                <w:rPr>
                  <w:rFonts w:ascii="Cambria Math" w:hAnsi="Cambria Math"/>
                </w:rPr>
                <m:t>R</m:t>
              </m:r>
            </m:e>
            <m:sub>
              <m:r>
                <w:rPr>
                  <w:rFonts w:ascii="Cambria Math" w:hAnsi="Cambria Math"/>
                </w:rPr>
                <m:t>i</m:t>
              </m:r>
            </m:sub>
          </m:sSub>
          <m:r>
            <w:rPr>
              <w:rFonts w:ascii="Cambria Math" w:hAnsi="Cambria Math"/>
            </w:rPr>
            <m:t>=α</m:t>
          </m:r>
          <m:sSub>
            <m:sSubPr>
              <m:ctrlPr>
                <w:rPr>
                  <w:rFonts w:ascii="Cambria Math" w:hAnsi="Cambria Math"/>
                  <w:i/>
                </w:rPr>
              </m:ctrlPr>
            </m:sSubPr>
            <m:e>
              <m:r>
                <w:rPr>
                  <w:rFonts w:ascii="Cambria Math" w:hAnsi="Cambria Math"/>
                </w:rPr>
                <m:t>R</m:t>
              </m:r>
            </m:e>
            <m:sub>
              <m:r>
                <w:rPr>
                  <w:rFonts w:ascii="Cambria Math" w:hAnsi="Cambria Math"/>
                </w:rPr>
                <m:t>APT</m:t>
              </m:r>
            </m:sub>
          </m:sSub>
          <m:r>
            <w:rPr>
              <w:rFonts w:ascii="Cambria Math" w:hAnsi="Cambria Math"/>
            </w:rPr>
            <m:t>+</m:t>
          </m:r>
          <m:d>
            <m:dPr>
              <m:ctrlPr>
                <w:rPr>
                  <w:rFonts w:ascii="Cambria Math" w:hAnsi="Cambria Math"/>
                  <w:i/>
                </w:rPr>
              </m:ctrlPr>
            </m:dPr>
            <m:e>
              <m:r>
                <w:rPr>
                  <w:rFonts w:ascii="Cambria Math" w:hAnsi="Cambria Math"/>
                </w:rPr>
                <m:t>1-α</m:t>
              </m:r>
            </m:e>
          </m:d>
          <m:sSub>
            <m:sSubPr>
              <m:ctrlPr>
                <w:rPr>
                  <w:rFonts w:ascii="Cambria Math" w:hAnsi="Cambria Math"/>
                  <w:i/>
                </w:rPr>
              </m:ctrlPr>
            </m:sSubPr>
            <m:e>
              <m:r>
                <w:rPr>
                  <w:rFonts w:ascii="Cambria Math" w:hAnsi="Cambria Math"/>
                </w:rPr>
                <m:t>R</m:t>
              </m:r>
            </m:e>
            <m:sub>
              <m:r>
                <w:rPr>
                  <w:rFonts w:ascii="Cambria Math" w:hAnsi="Cambria Math"/>
                </w:rPr>
                <m:t>CAPM</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i</m:t>
              </m:r>
            </m:sub>
          </m:sSub>
          <m:r>
            <w:rPr>
              <w:rFonts w:ascii="Cambria Math" w:hAnsi="Cambria Math"/>
            </w:rPr>
            <m:t xml:space="preserve">                    (3.5)</m:t>
          </m:r>
        </m:oMath>
      </m:oMathPara>
    </w:p>
    <w:p w:rsidR="00C26B91" w:rsidRPr="00691748" w:rsidRDefault="00C26B91" w:rsidP="00C26B91">
      <w:pPr>
        <w:jc w:val="both"/>
      </w:pPr>
      <w:proofErr w:type="spellStart"/>
      <w:r w:rsidRPr="00691748">
        <w:t>WhereR</w:t>
      </w:r>
      <w:r w:rsidRPr="00691748">
        <w:rPr>
          <w:vertAlign w:val="subscript"/>
        </w:rPr>
        <w:t>i</w:t>
      </w:r>
      <w:proofErr w:type="spellEnd"/>
      <w:r w:rsidRPr="00691748">
        <w:rPr>
          <w:vertAlign w:val="subscript"/>
        </w:rPr>
        <w:t>=</w:t>
      </w:r>
      <w:r w:rsidRPr="00691748">
        <w:t xml:space="preserve"> the average monthly excess returns of the stock </w:t>
      </w:r>
      <w:proofErr w:type="spellStart"/>
      <w:r w:rsidRPr="00691748">
        <w:t>i</w:t>
      </w:r>
      <w:proofErr w:type="spellEnd"/>
      <w:r w:rsidRPr="00691748">
        <w:t>, R</w:t>
      </w:r>
      <w:r w:rsidRPr="00691748">
        <w:rPr>
          <w:vertAlign w:val="subscript"/>
        </w:rPr>
        <w:t xml:space="preserve">APT= </w:t>
      </w:r>
      <w:r w:rsidRPr="00691748">
        <w:t>expected excess returns estimated by APT, R</w:t>
      </w:r>
      <w:r w:rsidRPr="00691748">
        <w:rPr>
          <w:vertAlign w:val="subscript"/>
        </w:rPr>
        <w:t xml:space="preserve">CAPM= </w:t>
      </w:r>
      <w:r w:rsidRPr="00691748">
        <w:t xml:space="preserve">expected excess returns estimated by CAPM and α measure the effectiveness of the models. The APT is the accurate model to forecast the returns of the stocks as compare to </w:t>
      </w:r>
      <w:proofErr w:type="spellStart"/>
      <w:r w:rsidRPr="00691748">
        <w:t>CAPMif</w:t>
      </w:r>
      <w:proofErr w:type="spellEnd"/>
      <w:r w:rsidRPr="00691748">
        <w:t xml:space="preserve"> α is close to 1. </w:t>
      </w:r>
    </w:p>
    <w:p w:rsidR="00C26B91" w:rsidRPr="00691748" w:rsidRDefault="00C26B91" w:rsidP="00C26B91">
      <w:pPr>
        <w:jc w:val="both"/>
        <w:rPr>
          <w:b/>
        </w:rPr>
      </w:pPr>
    </w:p>
    <w:p w:rsidR="00962AC7" w:rsidRDefault="00962AC7" w:rsidP="00C26B91">
      <w:pPr>
        <w:jc w:val="both"/>
        <w:rPr>
          <w:b/>
        </w:rPr>
      </w:pPr>
    </w:p>
    <w:p w:rsidR="00C26B91" w:rsidRPr="00691748" w:rsidRDefault="00C26B91" w:rsidP="00C26B91">
      <w:pPr>
        <w:jc w:val="both"/>
        <w:rPr>
          <w:b/>
        </w:rPr>
      </w:pPr>
      <w:r w:rsidRPr="00691748">
        <w:rPr>
          <w:b/>
        </w:rPr>
        <w:t>3.4.3.2 Posterior Odds Ratio</w:t>
      </w:r>
    </w:p>
    <w:p w:rsidR="00C26B91" w:rsidRPr="00691748" w:rsidRDefault="00C26B91" w:rsidP="00C26B91">
      <w:pPr>
        <w:jc w:val="both"/>
        <w:rPr>
          <w:lang w:val="en-GB"/>
        </w:rPr>
      </w:pPr>
      <w:r w:rsidRPr="00691748">
        <w:rPr>
          <w:lang w:val="en-GB"/>
        </w:rPr>
        <w:tab/>
        <w:t>A standard assumption in theoretical and empirical research in finance is that relevant variables (</w:t>
      </w:r>
      <w:proofErr w:type="spellStart"/>
      <w:r w:rsidRPr="00691748">
        <w:rPr>
          <w:lang w:val="en-GB"/>
        </w:rPr>
        <w:t>e.g</w:t>
      </w:r>
      <w:proofErr w:type="spellEnd"/>
      <w:r w:rsidRPr="00691748">
        <w:rPr>
          <w:lang w:val="en-GB"/>
        </w:rPr>
        <w:t xml:space="preserve"> stock returns) have multivariate normal distributions (Richardson and smith, 1993). Given the </w:t>
      </w:r>
      <w:proofErr w:type="spellStart"/>
      <w:r w:rsidRPr="00691748">
        <w:rPr>
          <w:lang w:val="en-GB"/>
        </w:rPr>
        <w:t>assumptionthat</w:t>
      </w:r>
      <w:proofErr w:type="spellEnd"/>
      <w:r w:rsidRPr="00691748">
        <w:rPr>
          <w:lang w:val="en-GB"/>
        </w:rPr>
        <w:t xml:space="preserve"> the residuals of the cross-sectional regression of the CAPM and the APT satisfy the IID (Independently and identically distribution) multivariate normal assumption (Campbell, Lo and </w:t>
      </w:r>
      <w:proofErr w:type="spellStart"/>
      <w:r w:rsidRPr="00691748">
        <w:rPr>
          <w:lang w:val="en-GB"/>
        </w:rPr>
        <w:t>MacKinlay</w:t>
      </w:r>
      <w:proofErr w:type="spellEnd"/>
      <w:r w:rsidRPr="00691748">
        <w:rPr>
          <w:lang w:val="en-GB"/>
        </w:rPr>
        <w:t xml:space="preserve">, 1997), it is possible to calculate the posterior odds ratio between the two </w:t>
      </w:r>
      <w:proofErr w:type="spellStart"/>
      <w:proofErr w:type="gramStart"/>
      <w:r w:rsidRPr="00691748">
        <w:rPr>
          <w:lang w:val="en-GB"/>
        </w:rPr>
        <w:t>models.In</w:t>
      </w:r>
      <w:proofErr w:type="spellEnd"/>
      <w:proofErr w:type="gramEnd"/>
      <w:r w:rsidRPr="00691748">
        <w:rPr>
          <w:lang w:val="en-GB"/>
        </w:rPr>
        <w:t xml:space="preserve"> general the </w:t>
      </w:r>
      <w:r w:rsidRPr="00691748">
        <w:rPr>
          <w:lang w:val="en-GB"/>
        </w:rPr>
        <w:lastRenderedPageBreak/>
        <w:t>posterior odds ratio is a more formal technique as compare to DM equation and has sounder theoretical grounds (</w:t>
      </w:r>
      <w:proofErr w:type="spellStart"/>
      <w:r w:rsidRPr="00691748">
        <w:rPr>
          <w:lang w:val="en-GB"/>
        </w:rPr>
        <w:t>Aggelidis</w:t>
      </w:r>
      <w:proofErr w:type="spellEnd"/>
      <w:r w:rsidRPr="00691748">
        <w:rPr>
          <w:lang w:val="en-GB"/>
        </w:rPr>
        <w:t xml:space="preserve"> and </w:t>
      </w:r>
      <w:proofErr w:type="spellStart"/>
      <w:r w:rsidRPr="00691748">
        <w:rPr>
          <w:lang w:val="en-GB"/>
        </w:rPr>
        <w:t>Maditinos</w:t>
      </w:r>
      <w:proofErr w:type="spellEnd"/>
      <w:r w:rsidRPr="00691748">
        <w:rPr>
          <w:lang w:val="en-GB"/>
        </w:rPr>
        <w:t>, 2006).</w:t>
      </w:r>
    </w:p>
    <w:p w:rsidR="00C26B91" w:rsidRPr="00691748" w:rsidRDefault="00C26B91" w:rsidP="00C26B91">
      <w:pPr>
        <w:jc w:val="both"/>
        <w:rPr>
          <w:lang w:val="en-GB"/>
        </w:rPr>
      </w:pPr>
      <w:r w:rsidRPr="00691748">
        <w:t xml:space="preserve">The second comparison is done using posterior odd radio. The formula for posterior odds is given by </w:t>
      </w:r>
      <w:proofErr w:type="spellStart"/>
      <w:r w:rsidRPr="00691748">
        <w:t>Zellner</w:t>
      </w:r>
      <w:proofErr w:type="spellEnd"/>
      <w:r w:rsidRPr="00691748">
        <w:t xml:space="preserve"> (1979) in favor of model 0 over model 1.</w:t>
      </w:r>
    </w:p>
    <w:p w:rsidR="00C26B91" w:rsidRPr="00691748" w:rsidRDefault="00C26B91" w:rsidP="00C26B91">
      <w:pPr>
        <w:jc w:val="both"/>
      </w:pPr>
      <w:r w:rsidRPr="00691748">
        <w:t>The formula has the following form;</w:t>
      </w:r>
    </w:p>
    <w:p w:rsidR="00C26B91" w:rsidRPr="00691748" w:rsidRDefault="00C26B91" w:rsidP="00C26B91">
      <w:pPr>
        <w:jc w:val="both"/>
      </w:pPr>
    </w:p>
    <w:p w:rsidR="00C26B91" w:rsidRPr="00691748" w:rsidRDefault="00C26B91" w:rsidP="00C26B91">
      <w:pPr>
        <w:jc w:val="both"/>
      </w:pPr>
      <m:oMathPara>
        <m:oMath>
          <m:r>
            <w:rPr>
              <w:rFonts w:ascii="Cambria Math" w:hAnsi="Cambria Math"/>
            </w:rPr>
            <m:t>R=</m:t>
          </m:r>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ESS</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ESS</m:t>
                      </m:r>
                    </m:e>
                    <m:sub>
                      <m:r>
                        <w:rPr>
                          <w:rFonts w:ascii="Cambria Math" w:hAnsi="Cambria Math"/>
                        </w:rPr>
                        <m:t>1</m:t>
                      </m:r>
                    </m:sub>
                  </m:sSub>
                </m:e>
              </m:d>
            </m:e>
            <m:sup>
              <m:r>
                <w:rPr>
                  <w:rFonts w:ascii="Cambria Math" w:hAnsi="Cambria Math"/>
                </w:rPr>
                <m:t>N/2</m:t>
              </m:r>
            </m:sup>
          </m:sSup>
          <m:sSup>
            <m:sSupPr>
              <m:ctrlPr>
                <w:rPr>
                  <w:rFonts w:ascii="Cambria Math" w:hAnsi="Cambria Math"/>
                  <w:i/>
                </w:rPr>
              </m:ctrlPr>
            </m:sSupPr>
            <m:e>
              <m:r>
                <w:rPr>
                  <w:rFonts w:ascii="Cambria Math" w:hAnsi="Cambria Math"/>
                </w:rPr>
                <m:t>N</m:t>
              </m:r>
            </m:e>
            <m:sup>
              <m:sSub>
                <m:sSubPr>
                  <m:ctrlPr>
                    <w:rPr>
                      <w:rFonts w:ascii="Cambria Math" w:hAnsi="Cambria Math"/>
                      <w:i/>
                    </w:rPr>
                  </m:ctrlPr>
                </m:sSubPr>
                <m:e>
                  <m:r>
                    <w:rPr>
                      <w:rFonts w:ascii="Cambria Math" w:hAnsi="Cambria Math"/>
                    </w:rPr>
                    <m:t>K</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/2</m:t>
              </m:r>
            </m:sup>
          </m:sSup>
          <m:r>
            <w:rPr>
              <w:rFonts w:ascii="Cambria Math" w:hAnsi="Cambria Math"/>
            </w:rPr>
            <m:t xml:space="preserve">                   (3.6)</m:t>
          </m:r>
        </m:oMath>
      </m:oMathPara>
    </w:p>
    <w:p w:rsidR="00C26B91" w:rsidRPr="00691748" w:rsidRDefault="00C26B91" w:rsidP="00C26B91">
      <w:pPr>
        <w:jc w:val="both"/>
      </w:pPr>
    </w:p>
    <w:p w:rsidR="00C26B91" w:rsidRPr="00691748" w:rsidRDefault="00C26B91" w:rsidP="00C26B91">
      <w:pPr>
        <w:jc w:val="both"/>
        <w:rPr>
          <w:lang w:val="en-GB"/>
        </w:rPr>
      </w:pPr>
      <w:r w:rsidRPr="00691748">
        <w:tab/>
        <w:t>WhereESS</w:t>
      </w:r>
      <w:r w:rsidRPr="00691748">
        <w:rPr>
          <w:vertAlign w:val="subscript"/>
        </w:rPr>
        <w:t>0</w:t>
      </w:r>
      <w:r w:rsidRPr="00691748">
        <w:t>iserror sum of squares of APT, ESS</w:t>
      </w:r>
      <w:r w:rsidRPr="00691748">
        <w:rPr>
          <w:vertAlign w:val="subscript"/>
        </w:rPr>
        <w:t>1</w:t>
      </w:r>
      <w:r w:rsidRPr="00691748">
        <w:t xml:space="preserve">iserror sum of squares of CAPM, </w:t>
      </w:r>
      <w:proofErr w:type="spellStart"/>
      <w:r w:rsidRPr="00691748">
        <w:t>Nisnumber</w:t>
      </w:r>
      <w:proofErr w:type="spellEnd"/>
      <w:r w:rsidRPr="00691748">
        <w:t xml:space="preserve"> of observations, K</w:t>
      </w:r>
      <w:r w:rsidRPr="00691748">
        <w:rPr>
          <w:vertAlign w:val="subscript"/>
        </w:rPr>
        <w:t>0</w:t>
      </w:r>
      <w:r w:rsidRPr="00691748">
        <w:t>is number of independent variables of the APT and K</w:t>
      </w:r>
      <w:r w:rsidRPr="00691748">
        <w:rPr>
          <w:vertAlign w:val="subscript"/>
        </w:rPr>
        <w:t xml:space="preserve">1 </w:t>
      </w:r>
      <w:proofErr w:type="spellStart"/>
      <w:r w:rsidRPr="00691748">
        <w:t>isnumber</w:t>
      </w:r>
      <w:proofErr w:type="spellEnd"/>
      <w:r w:rsidRPr="00691748">
        <w:t xml:space="preserve"> of independent variables of the CAPM.</w:t>
      </w:r>
      <w:r w:rsidRPr="00691748">
        <w:rPr>
          <w:lang w:val="en-GB"/>
        </w:rPr>
        <w:t>As according to the ratio when;</w:t>
      </w:r>
    </w:p>
    <w:p w:rsidR="00C26B91" w:rsidRPr="00691748" w:rsidRDefault="00C26B91" w:rsidP="00C26B91">
      <w:pPr>
        <w:jc w:val="both"/>
        <w:rPr>
          <w:lang w:val="en-GB"/>
        </w:rPr>
      </w:pPr>
      <w:r w:rsidRPr="00691748">
        <w:rPr>
          <w:lang w:val="en-GB"/>
        </w:rPr>
        <w:t>R&gt; 1 means CAPM is more strongly supported by data under consideration than APT.</w:t>
      </w:r>
    </w:p>
    <w:p w:rsidR="00C26B91" w:rsidRPr="00691748" w:rsidRDefault="00C26B91" w:rsidP="00C26B91">
      <w:pPr>
        <w:jc w:val="both"/>
        <w:rPr>
          <w:lang w:val="en-GB"/>
        </w:rPr>
      </w:pPr>
      <w:r w:rsidRPr="00691748">
        <w:rPr>
          <w:lang w:val="en-GB"/>
        </w:rPr>
        <w:t>R &lt; 1 means APT is more strongly supported by data under consideration than CAPM.</w:t>
      </w:r>
    </w:p>
    <w:p w:rsidR="00C26B91" w:rsidRPr="00691748" w:rsidRDefault="00C26B91" w:rsidP="00C26B91">
      <w:pPr>
        <w:jc w:val="both"/>
      </w:pPr>
    </w:p>
    <w:p w:rsidR="00C26B91" w:rsidRPr="00691748" w:rsidRDefault="00C26B91" w:rsidP="00C26B91">
      <w:pPr>
        <w:jc w:val="left"/>
      </w:pPr>
      <w:r w:rsidRPr="00691748">
        <w:rPr>
          <w:b/>
        </w:rPr>
        <w:t>IV. RESULTS AND DISCUSSION</w:t>
      </w:r>
    </w:p>
    <w:p w:rsidR="00C26B91" w:rsidRPr="00691748" w:rsidRDefault="00C26B91" w:rsidP="00C26B91">
      <w:pPr>
        <w:jc w:val="both"/>
      </w:pPr>
      <w:r w:rsidRPr="00691748">
        <w:tab/>
      </w:r>
    </w:p>
    <w:p w:rsidR="00C26B91" w:rsidRPr="00691748" w:rsidRDefault="00C26B91" w:rsidP="00C26B91">
      <w:pPr>
        <w:jc w:val="both"/>
        <w:rPr>
          <w:b/>
        </w:rPr>
      </w:pPr>
      <w:r w:rsidRPr="00691748">
        <w:rPr>
          <w:b/>
        </w:rPr>
        <w:t>4.1 Results of Descriptive Statics of Study Variables</w:t>
      </w:r>
    </w:p>
    <w:tbl>
      <w:tblPr>
        <w:tblpPr w:leftFromText="180" w:rightFromText="180" w:vertAnchor="text" w:horzAnchor="margin" w:tblpY="42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0"/>
        <w:gridCol w:w="1434"/>
        <w:gridCol w:w="1636"/>
        <w:gridCol w:w="1227"/>
        <w:gridCol w:w="1226"/>
        <w:gridCol w:w="1839"/>
        <w:gridCol w:w="1226"/>
      </w:tblGrid>
      <w:tr w:rsidR="00C26B91" w:rsidRPr="00691748" w:rsidTr="00725842">
        <w:trPr>
          <w:trHeight w:val="63"/>
        </w:trPr>
        <w:tc>
          <w:tcPr>
            <w:tcW w:w="882" w:type="pct"/>
            <w:shd w:val="clear" w:color="auto" w:fill="auto"/>
          </w:tcPr>
          <w:p w:rsidR="00C26B91" w:rsidRPr="00691748" w:rsidRDefault="00C26B91" w:rsidP="00725842">
            <w:pPr>
              <w:jc w:val="both"/>
            </w:pPr>
          </w:p>
          <w:p w:rsidR="00C26B91" w:rsidRPr="00691748" w:rsidRDefault="00C26B91" w:rsidP="00725842">
            <w:pPr>
              <w:jc w:val="both"/>
            </w:pPr>
            <w:r w:rsidRPr="00691748">
              <w:t>Variable</w:t>
            </w:r>
          </w:p>
        </w:tc>
        <w:tc>
          <w:tcPr>
            <w:tcW w:w="687" w:type="pct"/>
            <w:shd w:val="clear" w:color="auto" w:fill="auto"/>
            <w:vAlign w:val="bottom"/>
          </w:tcPr>
          <w:p w:rsidR="00C26B91" w:rsidRPr="00691748" w:rsidRDefault="00C26B91" w:rsidP="00725842">
            <w:pPr>
              <w:jc w:val="both"/>
            </w:pPr>
            <w:r w:rsidRPr="00691748">
              <w:t>Minimum</w:t>
            </w:r>
          </w:p>
        </w:tc>
        <w:tc>
          <w:tcPr>
            <w:tcW w:w="784" w:type="pct"/>
            <w:shd w:val="clear" w:color="auto" w:fill="auto"/>
            <w:vAlign w:val="bottom"/>
          </w:tcPr>
          <w:p w:rsidR="00C26B91" w:rsidRPr="00691748" w:rsidRDefault="00C26B91" w:rsidP="00725842">
            <w:pPr>
              <w:jc w:val="both"/>
            </w:pPr>
            <w:r w:rsidRPr="00691748">
              <w:t>Maximum</w:t>
            </w:r>
          </w:p>
        </w:tc>
        <w:tc>
          <w:tcPr>
            <w:tcW w:w="588" w:type="pct"/>
            <w:shd w:val="clear" w:color="auto" w:fill="auto"/>
            <w:vAlign w:val="bottom"/>
          </w:tcPr>
          <w:p w:rsidR="00C26B91" w:rsidRPr="00691748" w:rsidRDefault="00C26B91" w:rsidP="00725842">
            <w:pPr>
              <w:jc w:val="both"/>
            </w:pPr>
            <w:r w:rsidRPr="00691748">
              <w:t>Mean</w:t>
            </w:r>
          </w:p>
        </w:tc>
        <w:tc>
          <w:tcPr>
            <w:tcW w:w="588" w:type="pct"/>
            <w:shd w:val="clear" w:color="auto" w:fill="auto"/>
            <w:vAlign w:val="bottom"/>
          </w:tcPr>
          <w:p w:rsidR="00C26B91" w:rsidRPr="00691748" w:rsidRDefault="00C26B91" w:rsidP="00725842">
            <w:pPr>
              <w:jc w:val="both"/>
            </w:pPr>
            <w:r w:rsidRPr="00691748">
              <w:t>Std. Deviation</w:t>
            </w:r>
          </w:p>
        </w:tc>
        <w:tc>
          <w:tcPr>
            <w:tcW w:w="882" w:type="pct"/>
            <w:shd w:val="clear" w:color="auto" w:fill="auto"/>
          </w:tcPr>
          <w:p w:rsidR="00C26B91" w:rsidRPr="00691748" w:rsidRDefault="00C26B91" w:rsidP="00725842">
            <w:pPr>
              <w:pStyle w:val="PlainText"/>
              <w:jc w:val="both"/>
              <w:rPr>
                <w:rFonts w:ascii="Times New Roman" w:hAnsi="Times New Roman"/>
                <w:sz w:val="20"/>
                <w:szCs w:val="20"/>
              </w:rPr>
            </w:pPr>
            <w:proofErr w:type="spellStart"/>
            <w:r w:rsidRPr="00691748">
              <w:rPr>
                <w:rFonts w:ascii="Times New Roman" w:hAnsi="Times New Roman"/>
                <w:sz w:val="20"/>
                <w:szCs w:val="20"/>
              </w:rPr>
              <w:t>Jarque-Bera</w:t>
            </w:r>
            <w:proofErr w:type="spellEnd"/>
            <w:r w:rsidRPr="00691748">
              <w:rPr>
                <w:rFonts w:ascii="Times New Roman" w:hAnsi="Times New Roman"/>
                <w:sz w:val="20"/>
                <w:szCs w:val="20"/>
              </w:rPr>
              <w:t xml:space="preserve"> test</w:t>
            </w:r>
          </w:p>
        </w:tc>
        <w:tc>
          <w:tcPr>
            <w:tcW w:w="588" w:type="pct"/>
            <w:shd w:val="clear" w:color="auto" w:fill="auto"/>
          </w:tcPr>
          <w:p w:rsidR="00C26B91" w:rsidRPr="00691748" w:rsidRDefault="00C26B91" w:rsidP="00725842">
            <w:pPr>
              <w:jc w:val="both"/>
            </w:pPr>
            <w:r w:rsidRPr="00691748">
              <w:t>Sig</w:t>
            </w:r>
          </w:p>
        </w:tc>
      </w:tr>
      <w:tr w:rsidR="00C26B91" w:rsidRPr="00691748" w:rsidTr="00725842">
        <w:trPr>
          <w:trHeight w:val="63"/>
        </w:trPr>
        <w:tc>
          <w:tcPr>
            <w:tcW w:w="882" w:type="pct"/>
            <w:shd w:val="clear" w:color="auto" w:fill="auto"/>
          </w:tcPr>
          <w:p w:rsidR="00C26B91" w:rsidRPr="00691748" w:rsidRDefault="00C26B91" w:rsidP="00725842">
            <w:pPr>
              <w:jc w:val="both"/>
            </w:pPr>
            <w:r w:rsidRPr="00691748">
              <w:t>KSE-100 Index</w:t>
            </w:r>
          </w:p>
        </w:tc>
        <w:tc>
          <w:tcPr>
            <w:tcW w:w="687" w:type="pct"/>
            <w:shd w:val="clear" w:color="auto" w:fill="auto"/>
            <w:vAlign w:val="center"/>
          </w:tcPr>
          <w:p w:rsidR="00C26B91" w:rsidRPr="00691748" w:rsidRDefault="00C26B91" w:rsidP="00725842">
            <w:pPr>
              <w:jc w:val="both"/>
            </w:pPr>
            <w:r w:rsidRPr="00691748">
              <w:t>-0.11</w:t>
            </w:r>
          </w:p>
        </w:tc>
        <w:tc>
          <w:tcPr>
            <w:tcW w:w="784" w:type="pct"/>
            <w:shd w:val="clear" w:color="auto" w:fill="auto"/>
            <w:vAlign w:val="center"/>
          </w:tcPr>
          <w:p w:rsidR="00C26B91" w:rsidRPr="00691748" w:rsidRDefault="00C26B91" w:rsidP="00725842">
            <w:pPr>
              <w:jc w:val="both"/>
            </w:pPr>
          </w:p>
          <w:p w:rsidR="00C26B91" w:rsidRPr="00691748" w:rsidRDefault="00C26B91" w:rsidP="00725842">
            <w:pPr>
              <w:jc w:val="both"/>
            </w:pPr>
            <w:r w:rsidRPr="00691748">
              <w:t>0.14</w:t>
            </w:r>
          </w:p>
        </w:tc>
        <w:tc>
          <w:tcPr>
            <w:tcW w:w="588" w:type="pct"/>
            <w:shd w:val="clear" w:color="auto" w:fill="auto"/>
            <w:vAlign w:val="center"/>
          </w:tcPr>
          <w:p w:rsidR="00C26B91" w:rsidRPr="00691748" w:rsidRDefault="00C26B91" w:rsidP="00725842">
            <w:pPr>
              <w:jc w:val="both"/>
            </w:pPr>
            <w:r w:rsidRPr="00691748">
              <w:t>0.020</w:t>
            </w:r>
          </w:p>
        </w:tc>
        <w:tc>
          <w:tcPr>
            <w:tcW w:w="588" w:type="pct"/>
            <w:shd w:val="clear" w:color="auto" w:fill="auto"/>
            <w:vAlign w:val="center"/>
          </w:tcPr>
          <w:p w:rsidR="00C26B91" w:rsidRPr="00691748" w:rsidRDefault="00C26B91" w:rsidP="00725842">
            <w:pPr>
              <w:jc w:val="both"/>
            </w:pPr>
            <w:r w:rsidRPr="00691748">
              <w:t xml:space="preserve">       0.047</w:t>
            </w:r>
          </w:p>
        </w:tc>
        <w:tc>
          <w:tcPr>
            <w:tcW w:w="882" w:type="pct"/>
            <w:shd w:val="clear" w:color="auto" w:fill="auto"/>
          </w:tcPr>
          <w:p w:rsidR="00C26B91" w:rsidRPr="00691748" w:rsidRDefault="00C26B91" w:rsidP="00725842">
            <w:pPr>
              <w:pStyle w:val="PlainText"/>
              <w:jc w:val="both"/>
              <w:rPr>
                <w:rFonts w:ascii="Times New Roman" w:hAnsi="Times New Roman"/>
                <w:sz w:val="20"/>
                <w:szCs w:val="20"/>
              </w:rPr>
            </w:pPr>
          </w:p>
          <w:p w:rsidR="00C26B91" w:rsidRPr="00691748" w:rsidRDefault="00C26B91" w:rsidP="00725842">
            <w:pPr>
              <w:pStyle w:val="PlainText"/>
              <w:jc w:val="both"/>
              <w:rPr>
                <w:rFonts w:ascii="Times New Roman" w:hAnsi="Times New Roman"/>
                <w:sz w:val="20"/>
                <w:szCs w:val="20"/>
              </w:rPr>
            </w:pPr>
            <w:r w:rsidRPr="00691748">
              <w:rPr>
                <w:rFonts w:ascii="Times New Roman" w:hAnsi="Times New Roman"/>
                <w:sz w:val="20"/>
                <w:szCs w:val="20"/>
              </w:rPr>
              <w:t>5.558</w:t>
            </w:r>
          </w:p>
        </w:tc>
        <w:tc>
          <w:tcPr>
            <w:tcW w:w="588" w:type="pct"/>
            <w:shd w:val="clear" w:color="auto" w:fill="auto"/>
          </w:tcPr>
          <w:p w:rsidR="00C26B91" w:rsidRPr="00691748" w:rsidRDefault="00C26B91" w:rsidP="00725842">
            <w:pPr>
              <w:jc w:val="both"/>
            </w:pPr>
          </w:p>
          <w:p w:rsidR="00C26B91" w:rsidRPr="00691748" w:rsidRDefault="00C26B91" w:rsidP="00725842">
            <w:pPr>
              <w:jc w:val="both"/>
            </w:pPr>
            <w:r w:rsidRPr="00691748">
              <w:t>0.062</w:t>
            </w:r>
          </w:p>
        </w:tc>
      </w:tr>
      <w:tr w:rsidR="00C26B91" w:rsidRPr="00691748" w:rsidTr="00725842">
        <w:trPr>
          <w:trHeight w:val="63"/>
        </w:trPr>
        <w:tc>
          <w:tcPr>
            <w:tcW w:w="882" w:type="pct"/>
            <w:shd w:val="clear" w:color="auto" w:fill="auto"/>
          </w:tcPr>
          <w:p w:rsidR="00C26B91" w:rsidRPr="00691748" w:rsidRDefault="00C26B91" w:rsidP="00725842">
            <w:pPr>
              <w:jc w:val="both"/>
            </w:pPr>
            <w:r w:rsidRPr="00691748">
              <w:t>Inflation</w:t>
            </w:r>
          </w:p>
        </w:tc>
        <w:tc>
          <w:tcPr>
            <w:tcW w:w="687" w:type="pct"/>
            <w:shd w:val="clear" w:color="auto" w:fill="auto"/>
          </w:tcPr>
          <w:p w:rsidR="00C26B91" w:rsidRPr="00691748" w:rsidRDefault="00C26B91" w:rsidP="00725842">
            <w:pPr>
              <w:jc w:val="both"/>
            </w:pPr>
            <w:r w:rsidRPr="00691748">
              <w:t xml:space="preserve">         -0.01</w:t>
            </w:r>
          </w:p>
        </w:tc>
        <w:tc>
          <w:tcPr>
            <w:tcW w:w="784" w:type="pct"/>
            <w:shd w:val="clear" w:color="auto" w:fill="auto"/>
            <w:vAlign w:val="center"/>
          </w:tcPr>
          <w:p w:rsidR="00C26B91" w:rsidRPr="00691748" w:rsidRDefault="00C26B91" w:rsidP="00725842">
            <w:pPr>
              <w:jc w:val="both"/>
            </w:pPr>
            <w:r w:rsidRPr="00691748">
              <w:t>0.02</w:t>
            </w:r>
          </w:p>
        </w:tc>
        <w:tc>
          <w:tcPr>
            <w:tcW w:w="588" w:type="pct"/>
            <w:shd w:val="clear" w:color="auto" w:fill="auto"/>
            <w:vAlign w:val="center"/>
          </w:tcPr>
          <w:p w:rsidR="00C26B91" w:rsidRPr="00691748" w:rsidRDefault="00C26B91" w:rsidP="00725842">
            <w:pPr>
              <w:jc w:val="both"/>
            </w:pPr>
            <w:r w:rsidRPr="00691748">
              <w:t>0.007</w:t>
            </w:r>
          </w:p>
        </w:tc>
        <w:tc>
          <w:tcPr>
            <w:tcW w:w="588" w:type="pct"/>
            <w:shd w:val="clear" w:color="auto" w:fill="auto"/>
            <w:vAlign w:val="center"/>
          </w:tcPr>
          <w:p w:rsidR="00C26B91" w:rsidRPr="00691748" w:rsidRDefault="00C26B91" w:rsidP="00725842">
            <w:pPr>
              <w:jc w:val="both"/>
            </w:pPr>
            <w:r w:rsidRPr="00691748">
              <w:t>0.008</w:t>
            </w:r>
          </w:p>
        </w:tc>
        <w:tc>
          <w:tcPr>
            <w:tcW w:w="882" w:type="pct"/>
            <w:shd w:val="clear" w:color="auto" w:fill="auto"/>
          </w:tcPr>
          <w:p w:rsidR="00C26B91" w:rsidRPr="00691748" w:rsidRDefault="00C26B91" w:rsidP="00725842">
            <w:pPr>
              <w:jc w:val="both"/>
            </w:pPr>
            <w:r w:rsidRPr="00691748">
              <w:t>1.345</w:t>
            </w:r>
          </w:p>
        </w:tc>
        <w:tc>
          <w:tcPr>
            <w:tcW w:w="588" w:type="pct"/>
            <w:shd w:val="clear" w:color="auto" w:fill="auto"/>
          </w:tcPr>
          <w:p w:rsidR="00C26B91" w:rsidRPr="00691748" w:rsidRDefault="00C26B91" w:rsidP="00725842">
            <w:pPr>
              <w:jc w:val="both"/>
            </w:pPr>
            <w:r w:rsidRPr="00691748">
              <w:t>0.510</w:t>
            </w:r>
          </w:p>
        </w:tc>
      </w:tr>
      <w:tr w:rsidR="00C26B91" w:rsidRPr="00691748" w:rsidTr="00725842">
        <w:trPr>
          <w:trHeight w:val="63"/>
        </w:trPr>
        <w:tc>
          <w:tcPr>
            <w:tcW w:w="882" w:type="pct"/>
            <w:shd w:val="clear" w:color="auto" w:fill="auto"/>
          </w:tcPr>
          <w:p w:rsidR="00C26B91" w:rsidRPr="00691748" w:rsidRDefault="00C26B91" w:rsidP="00725842">
            <w:pPr>
              <w:jc w:val="both"/>
            </w:pPr>
            <w:r w:rsidRPr="00691748">
              <w:t>Exchange rate</w:t>
            </w:r>
          </w:p>
        </w:tc>
        <w:tc>
          <w:tcPr>
            <w:tcW w:w="687" w:type="pct"/>
            <w:shd w:val="clear" w:color="auto" w:fill="auto"/>
            <w:vAlign w:val="center"/>
          </w:tcPr>
          <w:p w:rsidR="00C26B91" w:rsidRPr="00691748" w:rsidRDefault="00C26B91" w:rsidP="00725842">
            <w:pPr>
              <w:jc w:val="both"/>
            </w:pPr>
            <w:r w:rsidRPr="00691748">
              <w:t>-0.07</w:t>
            </w:r>
          </w:p>
        </w:tc>
        <w:tc>
          <w:tcPr>
            <w:tcW w:w="784" w:type="pct"/>
            <w:shd w:val="clear" w:color="auto" w:fill="auto"/>
            <w:vAlign w:val="center"/>
          </w:tcPr>
          <w:p w:rsidR="00C26B91" w:rsidRPr="00691748" w:rsidRDefault="00C26B91" w:rsidP="00725842">
            <w:pPr>
              <w:jc w:val="both"/>
            </w:pPr>
            <w:r w:rsidRPr="00691748">
              <w:t>0.04</w:t>
            </w:r>
          </w:p>
        </w:tc>
        <w:tc>
          <w:tcPr>
            <w:tcW w:w="588" w:type="pct"/>
            <w:shd w:val="clear" w:color="auto" w:fill="auto"/>
            <w:vAlign w:val="center"/>
          </w:tcPr>
          <w:p w:rsidR="00C26B91" w:rsidRPr="00691748" w:rsidRDefault="00C26B91" w:rsidP="00725842">
            <w:pPr>
              <w:jc w:val="both"/>
            </w:pPr>
            <w:r w:rsidRPr="00691748">
              <w:t>0.003</w:t>
            </w:r>
          </w:p>
        </w:tc>
        <w:tc>
          <w:tcPr>
            <w:tcW w:w="588" w:type="pct"/>
            <w:shd w:val="clear" w:color="auto" w:fill="auto"/>
            <w:vAlign w:val="center"/>
          </w:tcPr>
          <w:p w:rsidR="00C26B91" w:rsidRPr="00691748" w:rsidRDefault="00C26B91" w:rsidP="00725842">
            <w:pPr>
              <w:jc w:val="both"/>
            </w:pPr>
            <w:r w:rsidRPr="00691748">
              <w:t>0.013</w:t>
            </w:r>
          </w:p>
        </w:tc>
        <w:tc>
          <w:tcPr>
            <w:tcW w:w="882" w:type="pct"/>
            <w:shd w:val="clear" w:color="auto" w:fill="auto"/>
          </w:tcPr>
          <w:p w:rsidR="00C26B91" w:rsidRPr="00691748" w:rsidRDefault="00C26B91" w:rsidP="00725842">
            <w:pPr>
              <w:jc w:val="both"/>
            </w:pPr>
            <w:r w:rsidRPr="00691748">
              <w:t>1.517</w:t>
            </w:r>
          </w:p>
        </w:tc>
        <w:tc>
          <w:tcPr>
            <w:tcW w:w="588" w:type="pct"/>
            <w:shd w:val="clear" w:color="auto" w:fill="auto"/>
          </w:tcPr>
          <w:p w:rsidR="00C26B91" w:rsidRPr="00691748" w:rsidRDefault="00C26B91" w:rsidP="00725842">
            <w:pPr>
              <w:jc w:val="both"/>
            </w:pPr>
            <w:r w:rsidRPr="00691748">
              <w:t>0.467</w:t>
            </w:r>
          </w:p>
        </w:tc>
      </w:tr>
      <w:tr w:rsidR="00C26B91" w:rsidRPr="00691748" w:rsidTr="00725842">
        <w:trPr>
          <w:trHeight w:val="63"/>
        </w:trPr>
        <w:tc>
          <w:tcPr>
            <w:tcW w:w="882" w:type="pct"/>
            <w:shd w:val="clear" w:color="auto" w:fill="auto"/>
          </w:tcPr>
          <w:p w:rsidR="00C26B91" w:rsidRPr="00691748" w:rsidRDefault="00C26B91" w:rsidP="00725842">
            <w:pPr>
              <w:jc w:val="both"/>
            </w:pPr>
            <w:r w:rsidRPr="00691748">
              <w:t>Oil Prices</w:t>
            </w:r>
          </w:p>
        </w:tc>
        <w:tc>
          <w:tcPr>
            <w:tcW w:w="687" w:type="pct"/>
            <w:shd w:val="clear" w:color="auto" w:fill="auto"/>
            <w:vAlign w:val="center"/>
          </w:tcPr>
          <w:p w:rsidR="00C26B91" w:rsidRPr="00691748" w:rsidRDefault="00C26B91" w:rsidP="00725842">
            <w:pPr>
              <w:jc w:val="both"/>
            </w:pPr>
            <w:r w:rsidRPr="00691748">
              <w:t>-0.24</w:t>
            </w:r>
          </w:p>
        </w:tc>
        <w:tc>
          <w:tcPr>
            <w:tcW w:w="784" w:type="pct"/>
            <w:shd w:val="clear" w:color="auto" w:fill="auto"/>
            <w:vAlign w:val="center"/>
          </w:tcPr>
          <w:p w:rsidR="00C26B91" w:rsidRPr="00691748" w:rsidRDefault="00C26B91" w:rsidP="00725842">
            <w:pPr>
              <w:jc w:val="both"/>
            </w:pPr>
            <w:r w:rsidRPr="00691748">
              <w:t>0.11</w:t>
            </w:r>
          </w:p>
        </w:tc>
        <w:tc>
          <w:tcPr>
            <w:tcW w:w="588" w:type="pct"/>
            <w:shd w:val="clear" w:color="auto" w:fill="auto"/>
            <w:vAlign w:val="center"/>
          </w:tcPr>
          <w:p w:rsidR="00C26B91" w:rsidRPr="00691748" w:rsidRDefault="00C26B91" w:rsidP="00725842">
            <w:pPr>
              <w:jc w:val="both"/>
            </w:pPr>
            <w:r w:rsidRPr="00691748">
              <w:t>0.041</w:t>
            </w:r>
          </w:p>
        </w:tc>
        <w:tc>
          <w:tcPr>
            <w:tcW w:w="588" w:type="pct"/>
            <w:shd w:val="clear" w:color="auto" w:fill="auto"/>
            <w:vAlign w:val="center"/>
          </w:tcPr>
          <w:p w:rsidR="00C26B91" w:rsidRPr="00691748" w:rsidRDefault="00C26B91" w:rsidP="00725842">
            <w:pPr>
              <w:jc w:val="both"/>
            </w:pPr>
            <w:r w:rsidRPr="00691748">
              <w:t>0.060</w:t>
            </w:r>
          </w:p>
        </w:tc>
        <w:tc>
          <w:tcPr>
            <w:tcW w:w="882" w:type="pct"/>
            <w:shd w:val="clear" w:color="auto" w:fill="auto"/>
          </w:tcPr>
          <w:p w:rsidR="00C26B91" w:rsidRPr="00691748" w:rsidRDefault="00C26B91" w:rsidP="00725842">
            <w:pPr>
              <w:jc w:val="both"/>
            </w:pPr>
            <w:r w:rsidRPr="00691748">
              <w:t>2.474</w:t>
            </w:r>
          </w:p>
        </w:tc>
        <w:tc>
          <w:tcPr>
            <w:tcW w:w="588" w:type="pct"/>
            <w:shd w:val="clear" w:color="auto" w:fill="auto"/>
          </w:tcPr>
          <w:p w:rsidR="00C26B91" w:rsidRPr="00691748" w:rsidRDefault="00C26B91" w:rsidP="00725842">
            <w:pPr>
              <w:jc w:val="both"/>
            </w:pPr>
            <w:r w:rsidRPr="00691748">
              <w:t>0.290</w:t>
            </w:r>
          </w:p>
        </w:tc>
      </w:tr>
      <w:tr w:rsidR="00C26B91" w:rsidRPr="00691748" w:rsidTr="00725842">
        <w:trPr>
          <w:trHeight w:val="63"/>
        </w:trPr>
        <w:tc>
          <w:tcPr>
            <w:tcW w:w="882" w:type="pct"/>
            <w:shd w:val="clear" w:color="auto" w:fill="auto"/>
          </w:tcPr>
          <w:p w:rsidR="00C26B91" w:rsidRPr="00691748" w:rsidRDefault="00C26B91" w:rsidP="00725842">
            <w:pPr>
              <w:jc w:val="both"/>
            </w:pPr>
            <w:r w:rsidRPr="00691748">
              <w:t>Interest rate</w:t>
            </w:r>
          </w:p>
        </w:tc>
        <w:tc>
          <w:tcPr>
            <w:tcW w:w="687" w:type="pct"/>
            <w:shd w:val="clear" w:color="auto" w:fill="auto"/>
            <w:vAlign w:val="center"/>
          </w:tcPr>
          <w:p w:rsidR="00C26B91" w:rsidRPr="00691748" w:rsidRDefault="00C26B91" w:rsidP="00725842">
            <w:pPr>
              <w:jc w:val="both"/>
            </w:pPr>
            <w:r w:rsidRPr="00691748">
              <w:t>-0.13</w:t>
            </w:r>
          </w:p>
        </w:tc>
        <w:tc>
          <w:tcPr>
            <w:tcW w:w="784" w:type="pct"/>
            <w:shd w:val="clear" w:color="auto" w:fill="auto"/>
            <w:vAlign w:val="center"/>
          </w:tcPr>
          <w:p w:rsidR="00C26B91" w:rsidRPr="00691748" w:rsidRDefault="00C26B91" w:rsidP="00725842">
            <w:pPr>
              <w:jc w:val="both"/>
            </w:pPr>
            <w:r w:rsidRPr="00691748">
              <w:t>0.05</w:t>
            </w:r>
          </w:p>
        </w:tc>
        <w:tc>
          <w:tcPr>
            <w:tcW w:w="588" w:type="pct"/>
            <w:shd w:val="clear" w:color="auto" w:fill="auto"/>
            <w:vAlign w:val="center"/>
          </w:tcPr>
          <w:p w:rsidR="00C26B91" w:rsidRPr="00691748" w:rsidRDefault="00C26B91" w:rsidP="00725842">
            <w:pPr>
              <w:jc w:val="both"/>
            </w:pPr>
            <w:r w:rsidRPr="00691748">
              <w:t>0.047</w:t>
            </w:r>
          </w:p>
        </w:tc>
        <w:tc>
          <w:tcPr>
            <w:tcW w:w="588" w:type="pct"/>
            <w:shd w:val="clear" w:color="auto" w:fill="auto"/>
            <w:vAlign w:val="center"/>
          </w:tcPr>
          <w:p w:rsidR="00C26B91" w:rsidRPr="00691748" w:rsidRDefault="00C26B91" w:rsidP="00725842">
            <w:pPr>
              <w:jc w:val="both"/>
            </w:pPr>
            <w:r w:rsidRPr="00691748">
              <w:t>0.029</w:t>
            </w:r>
          </w:p>
        </w:tc>
        <w:tc>
          <w:tcPr>
            <w:tcW w:w="882" w:type="pct"/>
            <w:shd w:val="clear" w:color="auto" w:fill="auto"/>
          </w:tcPr>
          <w:p w:rsidR="00C26B91" w:rsidRPr="00691748" w:rsidRDefault="00C26B91" w:rsidP="00725842">
            <w:pPr>
              <w:jc w:val="both"/>
            </w:pPr>
            <w:r w:rsidRPr="00691748">
              <w:t>1.745</w:t>
            </w:r>
          </w:p>
        </w:tc>
        <w:tc>
          <w:tcPr>
            <w:tcW w:w="588" w:type="pct"/>
            <w:shd w:val="clear" w:color="auto" w:fill="auto"/>
          </w:tcPr>
          <w:p w:rsidR="00C26B91" w:rsidRPr="00691748" w:rsidRDefault="00C26B91" w:rsidP="00725842">
            <w:pPr>
              <w:jc w:val="both"/>
            </w:pPr>
            <w:r w:rsidRPr="00691748">
              <w:t>0.418</w:t>
            </w:r>
          </w:p>
        </w:tc>
      </w:tr>
    </w:tbl>
    <w:p w:rsidR="00C26B91" w:rsidRPr="00691748" w:rsidRDefault="00C26B91" w:rsidP="00C26B91">
      <w:pPr>
        <w:jc w:val="both"/>
      </w:pPr>
      <w:r w:rsidRPr="00691748">
        <w:t>Table 4.1: Descriptive Statics</w:t>
      </w:r>
    </w:p>
    <w:p w:rsidR="00C26B91" w:rsidRPr="00691748" w:rsidRDefault="00C26B91" w:rsidP="00C26B91">
      <w:pPr>
        <w:jc w:val="both"/>
      </w:pPr>
      <w:r w:rsidRPr="00691748">
        <w:rPr>
          <w:b/>
        </w:rPr>
        <w:br w:type="textWrapping" w:clear="all"/>
      </w:r>
      <w:r w:rsidRPr="00691748">
        <w:t xml:space="preserve">Table 4.1 displayed mean, standard deviation, maximum minimum and </w:t>
      </w:r>
      <w:proofErr w:type="spellStart"/>
      <w:r w:rsidRPr="00691748">
        <w:t>jarque-bera</w:t>
      </w:r>
      <w:proofErr w:type="spellEnd"/>
      <w:r w:rsidRPr="00691748">
        <w:t xml:space="preserve"> test and its p value of the macroeconomic variables of the study. The descriptive statistics indicated that the mean values of variables (index, INF, EX, </w:t>
      </w:r>
      <w:proofErr w:type="spellStart"/>
      <w:r w:rsidRPr="00691748">
        <w:t>OilP</w:t>
      </w:r>
      <w:proofErr w:type="spellEnd"/>
      <w:r w:rsidRPr="00691748">
        <w:t xml:space="preserve"> and INT) were 0.020, 0.007, 0.003, 0.041 and 0.047 respectively. The maximum values of the variables between the study periods were 0.14, 0.02, 0.04, 0.41, 0.11 and 0.05 for the KSE- 100 Index, inflation, exchange rate, oil prices and interest rate. </w:t>
      </w:r>
    </w:p>
    <w:p w:rsidR="00C26B91" w:rsidRPr="00691748" w:rsidRDefault="00C26B91" w:rsidP="00C26B91">
      <w:pPr>
        <w:jc w:val="both"/>
      </w:pPr>
      <w:r w:rsidRPr="00691748">
        <w:t xml:space="preserve">The standard deviations for each variable indicated that data were widely spread around their respective means. </w:t>
      </w:r>
    </w:p>
    <w:p w:rsidR="00C26B91" w:rsidRPr="00691748" w:rsidRDefault="00C26B91" w:rsidP="00C26B91">
      <w:pPr>
        <w:jc w:val="both"/>
      </w:pPr>
      <w:r w:rsidRPr="00691748">
        <w:t xml:space="preserve">Column 6 in table 4.1 shows </w:t>
      </w:r>
      <w:proofErr w:type="spellStart"/>
      <w:r w:rsidRPr="00691748">
        <w:t>jarque</w:t>
      </w:r>
      <w:proofErr w:type="spellEnd"/>
      <w:r w:rsidRPr="00691748">
        <w:t xml:space="preserve"> </w:t>
      </w:r>
      <w:proofErr w:type="spellStart"/>
      <w:r w:rsidRPr="00691748">
        <w:t>bera</w:t>
      </w:r>
      <w:proofErr w:type="spellEnd"/>
      <w:r w:rsidRPr="00691748">
        <w:t xml:space="preserve"> test which is used to </w:t>
      </w:r>
      <w:proofErr w:type="spellStart"/>
      <w:r w:rsidRPr="00691748">
        <w:t>checkthe</w:t>
      </w:r>
      <w:proofErr w:type="spellEnd"/>
      <w:r w:rsidRPr="00691748">
        <w:t xml:space="preserve"> normality of data. The hypotheses of the normal distribution are given;</w:t>
      </w:r>
    </w:p>
    <w:p w:rsidR="00C26B91" w:rsidRPr="00691748" w:rsidRDefault="00C26B91" w:rsidP="00C26B91">
      <w:pPr>
        <w:jc w:val="both"/>
      </w:pPr>
      <w:r w:rsidRPr="00691748">
        <w:t>H</w:t>
      </w:r>
      <w:proofErr w:type="gramStart"/>
      <w:r w:rsidRPr="00691748">
        <w:rPr>
          <w:vertAlign w:val="subscript"/>
        </w:rPr>
        <w:t xml:space="preserve">0 </w:t>
      </w:r>
      <w:r w:rsidRPr="00691748">
        <w:t>:</w:t>
      </w:r>
      <w:proofErr w:type="gramEnd"/>
      <w:r w:rsidRPr="00691748">
        <w:t xml:space="preserve"> The data is normally distributed.</w:t>
      </w:r>
    </w:p>
    <w:p w:rsidR="00C26B91" w:rsidRPr="00691748" w:rsidRDefault="00C26B91" w:rsidP="00C26B91">
      <w:pPr>
        <w:jc w:val="both"/>
      </w:pPr>
      <w:r w:rsidRPr="00691748">
        <w:t>H</w:t>
      </w:r>
      <w:proofErr w:type="gramStart"/>
      <w:r w:rsidRPr="00691748">
        <w:rPr>
          <w:vertAlign w:val="subscript"/>
        </w:rPr>
        <w:t>1 :</w:t>
      </w:r>
      <w:r w:rsidRPr="00691748">
        <w:t>The</w:t>
      </w:r>
      <w:proofErr w:type="gramEnd"/>
      <w:r w:rsidRPr="00691748">
        <w:t xml:space="preserve"> data is not normally distributed.</w:t>
      </w:r>
    </w:p>
    <w:p w:rsidR="00C26B91" w:rsidRPr="00691748" w:rsidRDefault="00C26B91" w:rsidP="00C26B91">
      <w:pPr>
        <w:jc w:val="both"/>
      </w:pPr>
      <w:r w:rsidRPr="00691748">
        <w:t>Table 4.1 shows that at 5 % level of confidence, the null hypothesis of normality cannot be rejected. KSE-100 index and macroeconomic variables inflation, exchange rate, oil prices and interest rate are normally distributed.</w:t>
      </w:r>
    </w:p>
    <w:p w:rsidR="00C26B91" w:rsidRPr="00691748" w:rsidRDefault="00C26B91" w:rsidP="00C26B91">
      <w:pPr>
        <w:jc w:val="both"/>
      </w:pPr>
      <w:r w:rsidRPr="00691748">
        <w:t>The descriptive statistics from Table 4.1 showed that the values were normally distributed about their mean and variance. This indicated that aggregate stock prices on the KSE and the macroeconomic factors, inflation rate, oil prices, exchange rate, and interest rate are all not too much sensitive to periodic changes and speculation. To interpret, this study found that an individual investor could not earn higher rate of profit from the KSE. Additionally, individual investors and corporations could not earn higher profits and interest rates from the economy and foreign companies could not earn considerably higher returns in terms of exchange rate. The investor could only earn a normal profit from KSE.</w:t>
      </w:r>
    </w:p>
    <w:p w:rsidR="00C26B91" w:rsidRDefault="00C26B91">
      <w:pPr>
        <w:pStyle w:val="Heading2"/>
        <w:rPr>
          <w:b/>
        </w:rPr>
      </w:pPr>
    </w:p>
    <w:p w:rsidR="00692375" w:rsidRPr="002C60BB" w:rsidRDefault="007D522D">
      <w:pPr>
        <w:pStyle w:val="Heading2"/>
        <w:rPr>
          <w:b/>
        </w:rPr>
      </w:pPr>
      <w:proofErr w:type="spellStart"/>
      <w:r w:rsidRPr="002C60BB">
        <w:rPr>
          <w:b/>
        </w:rPr>
        <w:t>FiguresandTables</w:t>
      </w:r>
      <w:proofErr w:type="spellEnd"/>
    </w:p>
    <w:p w:rsidR="00692375" w:rsidRDefault="007D522D">
      <w:pPr>
        <w:pStyle w:val="BodyText"/>
      </w:pPr>
      <w:proofErr w:type="gramStart"/>
      <w:r>
        <w:t>Placefiguresandtablesatthetopandbottomofcolumns.Avoidplacingtheminthemiddleofcolumns.Largefiguresandtablesmayspanacrossbothcolumns.Figurecaptionsshouldbebelowthefigures</w:t>
      </w:r>
      <w:proofErr w:type="gramEnd"/>
      <w:r>
        <w:t>;tablecaptionsshouldappearabovethetables.Insertfiguresandtablesaftertheyarecitedinthetext.Usetheabbreviation</w:t>
      </w:r>
      <w:r w:rsidRPr="002C60BB">
        <w:rPr>
          <w:rFonts w:eastAsia="Times New Roman"/>
          <w:b/>
        </w:rPr>
        <w:t>“</w:t>
      </w:r>
      <w:r w:rsidRPr="002C60BB">
        <w:rPr>
          <w:b/>
        </w:rPr>
        <w:t>Fig.1</w:t>
      </w:r>
      <w:r w:rsidRPr="002C60BB">
        <w:rPr>
          <w:rFonts w:eastAsia="Times New Roman"/>
          <w:b/>
        </w:rPr>
        <w:t>”</w:t>
      </w:r>
      <w:r>
        <w:rPr>
          <w:rFonts w:eastAsia="Times New Roman"/>
        </w:rPr>
        <w:t xml:space="preserve"> in the text, and “</w:t>
      </w:r>
      <w:r w:rsidRPr="002C60BB">
        <w:rPr>
          <w:rFonts w:eastAsia="Times New Roman"/>
          <w:b/>
        </w:rPr>
        <w:t>Figure 1</w:t>
      </w:r>
      <w:r>
        <w:rPr>
          <w:rFonts w:eastAsia="Times New Roman"/>
        </w:rPr>
        <w:t xml:space="preserve">” </w:t>
      </w:r>
      <w:proofErr w:type="spellStart"/>
      <w:r>
        <w:t>atthebeginningofasentence</w:t>
      </w:r>
      <w:proofErr w:type="spellEnd"/>
      <w:r>
        <w:t>.</w:t>
      </w:r>
    </w:p>
    <w:p w:rsidR="00692375" w:rsidRDefault="007D522D">
      <w:pPr>
        <w:pStyle w:val="BodyText"/>
      </w:pPr>
      <w:r>
        <w:t>Use</w:t>
      </w:r>
      <w:r w:rsidR="002C60BB">
        <w:t>10</w:t>
      </w:r>
      <w:r w:rsidRPr="002C60BB">
        <w:rPr>
          <w:b/>
          <w:u w:val="single"/>
        </w:rPr>
        <w:t>pointTimesNewRoman</w:t>
      </w:r>
      <w:r>
        <w:t>forfigurelabels.Usewordsratherthansymbolsorabbreviationswhenwritingfigure-</w:t>
      </w:r>
      <w:proofErr w:type="gramStart"/>
      <w:r>
        <w:t>axislabelstoavoidconfusingthereader.Asanexample</w:t>
      </w:r>
      <w:proofErr w:type="gramEnd"/>
      <w:r>
        <w:t>,writethequantity</w:t>
      </w:r>
      <w:r>
        <w:rPr>
          <w:rFonts w:eastAsia="Times New Roman"/>
        </w:rPr>
        <w:t xml:space="preserve"> “</w:t>
      </w:r>
      <w:proofErr w:type="spellStart"/>
      <w:r>
        <w:t>Magnetization</w:t>
      </w:r>
      <w:r>
        <w:rPr>
          <w:rFonts w:eastAsia="Times New Roman"/>
        </w:rPr>
        <w:t>”</w:t>
      </w:r>
      <w:r>
        <w:t>,or</w:t>
      </w:r>
      <w:proofErr w:type="spellEnd"/>
      <w:r>
        <w:rPr>
          <w:rFonts w:eastAsia="Times New Roman"/>
        </w:rPr>
        <w:t xml:space="preserve"> “</w:t>
      </w:r>
      <w:r>
        <w:t>Magnetization,M</w:t>
      </w:r>
      <w:r>
        <w:rPr>
          <w:rFonts w:eastAsia="Times New Roman"/>
        </w:rPr>
        <w:t>”</w:t>
      </w:r>
      <w:r>
        <w:t>,</w:t>
      </w:r>
      <w:proofErr w:type="spellStart"/>
      <w:r>
        <w:t>notjust</w:t>
      </w:r>
      <w:proofErr w:type="spellEnd"/>
      <w:r>
        <w:rPr>
          <w:rFonts w:eastAsia="Times New Roman"/>
        </w:rPr>
        <w:t xml:space="preserve"> “</w:t>
      </w:r>
      <w:r>
        <w:t>M</w:t>
      </w:r>
      <w:r>
        <w:rPr>
          <w:rFonts w:eastAsia="Times New Roman"/>
        </w:rPr>
        <w:t>”</w:t>
      </w:r>
      <w:r>
        <w:t>.</w:t>
      </w:r>
    </w:p>
    <w:p w:rsidR="006C0A2C" w:rsidRDefault="006C0A2C">
      <w:pPr>
        <w:pStyle w:val="tablehead"/>
        <w:rPr>
          <w:smallCaps w:val="0"/>
          <w:spacing w:val="-1"/>
          <w:sz w:val="20"/>
          <w:szCs w:val="20"/>
          <w:lang w:eastAsia="zh-CN"/>
        </w:rPr>
      </w:pPr>
    </w:p>
    <w:p w:rsidR="00692375" w:rsidRPr="002C60BB" w:rsidRDefault="002C60BB">
      <w:pPr>
        <w:pStyle w:val="tablehead"/>
        <w:rPr>
          <w:smallCaps w:val="0"/>
          <w:spacing w:val="-1"/>
          <w:sz w:val="20"/>
          <w:szCs w:val="20"/>
          <w:lang w:eastAsia="zh-CN"/>
        </w:rPr>
      </w:pPr>
      <w:r w:rsidRPr="002C60BB">
        <w:rPr>
          <w:smallCaps w:val="0"/>
          <w:spacing w:val="-1"/>
          <w:sz w:val="20"/>
          <w:szCs w:val="20"/>
          <w:lang w:eastAsia="zh-CN"/>
        </w:rPr>
        <w:t xml:space="preserve">Table 1 </w:t>
      </w:r>
      <w:r w:rsidR="007D522D" w:rsidRPr="002C60BB">
        <w:rPr>
          <w:smallCaps w:val="0"/>
          <w:spacing w:val="-1"/>
          <w:sz w:val="20"/>
          <w:szCs w:val="20"/>
          <w:lang w:eastAsia="zh-CN"/>
        </w:rPr>
        <w:t>Table Type Styles</w:t>
      </w:r>
    </w:p>
    <w:tbl>
      <w:tblPr>
        <w:tblW w:w="0" w:type="auto"/>
        <w:jc w:val="center"/>
        <w:tblLayout w:type="fixed"/>
        <w:tblLook w:val="0000" w:firstRow="0" w:lastRow="0" w:firstColumn="0" w:lastColumn="0" w:noHBand="0" w:noVBand="0"/>
      </w:tblPr>
      <w:tblGrid>
        <w:gridCol w:w="720"/>
        <w:gridCol w:w="2340"/>
        <w:gridCol w:w="1039"/>
        <w:gridCol w:w="1039"/>
      </w:tblGrid>
      <w:tr w:rsidR="00692375" w:rsidRPr="002C60BB" w:rsidTr="00092B52">
        <w:trPr>
          <w:trHeight w:val="240"/>
          <w:tblHeader/>
          <w:jc w:val="center"/>
        </w:trPr>
        <w:tc>
          <w:tcPr>
            <w:tcW w:w="720" w:type="dxa"/>
            <w:tcBorders>
              <w:top w:val="single" w:sz="1" w:space="0" w:color="000000"/>
              <w:left w:val="single" w:sz="1" w:space="0" w:color="000000"/>
              <w:bottom w:val="single" w:sz="1" w:space="0" w:color="000000"/>
            </w:tcBorders>
            <w:shd w:val="clear" w:color="auto" w:fill="auto"/>
            <w:vAlign w:val="center"/>
          </w:tcPr>
          <w:p w:rsidR="00692375" w:rsidRPr="002C60BB" w:rsidRDefault="007D522D">
            <w:pPr>
              <w:pStyle w:val="tablecolhead"/>
              <w:snapToGrid w:val="0"/>
              <w:rPr>
                <w:sz w:val="20"/>
                <w:szCs w:val="20"/>
              </w:rPr>
            </w:pPr>
            <w:proofErr w:type="spellStart"/>
            <w:r w:rsidRPr="002C60BB">
              <w:rPr>
                <w:sz w:val="20"/>
                <w:szCs w:val="20"/>
              </w:rPr>
              <w:t>TableHead</w:t>
            </w:r>
            <w:proofErr w:type="spellEnd"/>
          </w:p>
        </w:tc>
        <w:tc>
          <w:tcPr>
            <w:tcW w:w="4418" w:type="dxa"/>
            <w:gridSpan w:val="3"/>
            <w:tcBorders>
              <w:top w:val="single" w:sz="1" w:space="0" w:color="000000"/>
              <w:left w:val="single" w:sz="1" w:space="0" w:color="000000"/>
              <w:bottom w:val="single" w:sz="1" w:space="0" w:color="000000"/>
              <w:right w:val="single" w:sz="1" w:space="0" w:color="000000"/>
            </w:tcBorders>
            <w:shd w:val="clear" w:color="auto" w:fill="auto"/>
            <w:vAlign w:val="center"/>
          </w:tcPr>
          <w:p w:rsidR="00692375" w:rsidRPr="002C60BB" w:rsidRDefault="007D522D">
            <w:pPr>
              <w:pStyle w:val="tablecolhead"/>
              <w:snapToGrid w:val="0"/>
              <w:rPr>
                <w:sz w:val="20"/>
                <w:szCs w:val="20"/>
              </w:rPr>
            </w:pPr>
            <w:proofErr w:type="spellStart"/>
            <w:r w:rsidRPr="002C60BB">
              <w:rPr>
                <w:sz w:val="20"/>
                <w:szCs w:val="20"/>
              </w:rPr>
              <w:t>TableColumnHead</w:t>
            </w:r>
            <w:proofErr w:type="spellEnd"/>
          </w:p>
        </w:tc>
      </w:tr>
      <w:tr w:rsidR="00692375" w:rsidRPr="002C60BB" w:rsidTr="00092B52">
        <w:trPr>
          <w:trHeight w:val="240"/>
          <w:tblHeader/>
          <w:jc w:val="center"/>
        </w:trPr>
        <w:tc>
          <w:tcPr>
            <w:tcW w:w="720" w:type="dxa"/>
            <w:tcBorders>
              <w:top w:val="single" w:sz="1" w:space="0" w:color="000000"/>
              <w:left w:val="single" w:sz="1" w:space="0" w:color="000000"/>
              <w:bottom w:val="single" w:sz="1" w:space="0" w:color="000000"/>
            </w:tcBorders>
            <w:shd w:val="clear" w:color="auto" w:fill="auto"/>
          </w:tcPr>
          <w:p w:rsidR="00692375" w:rsidRPr="002C60BB" w:rsidRDefault="00692375">
            <w:pPr>
              <w:snapToGrid w:val="0"/>
            </w:pPr>
          </w:p>
        </w:tc>
        <w:tc>
          <w:tcPr>
            <w:tcW w:w="2340" w:type="dxa"/>
            <w:tcBorders>
              <w:top w:val="single" w:sz="1" w:space="0" w:color="000000"/>
              <w:left w:val="single" w:sz="1" w:space="0" w:color="000000"/>
              <w:bottom w:val="single" w:sz="1" w:space="0" w:color="000000"/>
            </w:tcBorders>
            <w:shd w:val="clear" w:color="auto" w:fill="auto"/>
            <w:vAlign w:val="center"/>
          </w:tcPr>
          <w:p w:rsidR="00692375" w:rsidRPr="00092B52" w:rsidRDefault="007D522D">
            <w:pPr>
              <w:pStyle w:val="tablecolsubhead"/>
              <w:snapToGrid w:val="0"/>
              <w:rPr>
                <w:i w:val="0"/>
                <w:sz w:val="20"/>
                <w:szCs w:val="20"/>
              </w:rPr>
            </w:pPr>
            <w:proofErr w:type="spellStart"/>
            <w:r w:rsidRPr="00092B52">
              <w:rPr>
                <w:i w:val="0"/>
                <w:sz w:val="20"/>
                <w:szCs w:val="20"/>
              </w:rPr>
              <w:t>Tablecolumnsubhead</w:t>
            </w:r>
            <w:proofErr w:type="spellEnd"/>
          </w:p>
        </w:tc>
        <w:tc>
          <w:tcPr>
            <w:tcW w:w="1039" w:type="dxa"/>
            <w:tcBorders>
              <w:top w:val="single" w:sz="1" w:space="0" w:color="000000"/>
              <w:left w:val="single" w:sz="1" w:space="0" w:color="000000"/>
              <w:bottom w:val="single" w:sz="1" w:space="0" w:color="000000"/>
            </w:tcBorders>
            <w:shd w:val="clear" w:color="auto" w:fill="auto"/>
            <w:vAlign w:val="center"/>
          </w:tcPr>
          <w:p w:rsidR="00692375" w:rsidRPr="00092B52" w:rsidRDefault="007D522D">
            <w:pPr>
              <w:pStyle w:val="tablecolsubhead"/>
              <w:snapToGrid w:val="0"/>
              <w:rPr>
                <w:i w:val="0"/>
                <w:sz w:val="20"/>
                <w:szCs w:val="20"/>
              </w:rPr>
            </w:pPr>
            <w:r w:rsidRPr="00092B52">
              <w:rPr>
                <w:i w:val="0"/>
                <w:sz w:val="20"/>
                <w:szCs w:val="20"/>
              </w:rPr>
              <w:t>Subhead</w:t>
            </w:r>
          </w:p>
        </w:tc>
        <w:tc>
          <w:tcPr>
            <w:tcW w:w="1039" w:type="dxa"/>
            <w:tcBorders>
              <w:top w:val="single" w:sz="1" w:space="0" w:color="000000"/>
              <w:left w:val="single" w:sz="1" w:space="0" w:color="000000"/>
              <w:bottom w:val="single" w:sz="1" w:space="0" w:color="000000"/>
              <w:right w:val="single" w:sz="1" w:space="0" w:color="000000"/>
            </w:tcBorders>
            <w:shd w:val="clear" w:color="auto" w:fill="auto"/>
            <w:vAlign w:val="center"/>
          </w:tcPr>
          <w:p w:rsidR="00692375" w:rsidRPr="00092B52" w:rsidRDefault="007D522D">
            <w:pPr>
              <w:pStyle w:val="tablecolsubhead"/>
              <w:snapToGrid w:val="0"/>
              <w:rPr>
                <w:i w:val="0"/>
                <w:sz w:val="20"/>
                <w:szCs w:val="20"/>
              </w:rPr>
            </w:pPr>
            <w:r w:rsidRPr="00092B52">
              <w:rPr>
                <w:i w:val="0"/>
                <w:sz w:val="20"/>
                <w:szCs w:val="20"/>
              </w:rPr>
              <w:t>Subhead</w:t>
            </w:r>
          </w:p>
        </w:tc>
      </w:tr>
      <w:tr w:rsidR="00692375" w:rsidRPr="002C60BB" w:rsidTr="00092B52">
        <w:trPr>
          <w:trHeight w:val="320"/>
          <w:jc w:val="center"/>
        </w:trPr>
        <w:tc>
          <w:tcPr>
            <w:tcW w:w="720" w:type="dxa"/>
            <w:tcBorders>
              <w:top w:val="single" w:sz="1" w:space="0" w:color="000000"/>
              <w:left w:val="single" w:sz="1" w:space="0" w:color="000000"/>
              <w:bottom w:val="single" w:sz="1" w:space="0" w:color="000000"/>
            </w:tcBorders>
            <w:shd w:val="clear" w:color="auto" w:fill="auto"/>
            <w:vAlign w:val="center"/>
          </w:tcPr>
          <w:p w:rsidR="00692375" w:rsidRPr="002C60BB" w:rsidRDefault="007D522D">
            <w:pPr>
              <w:pStyle w:val="tablecopy"/>
              <w:snapToGrid w:val="0"/>
              <w:rPr>
                <w:sz w:val="20"/>
                <w:szCs w:val="20"/>
              </w:rPr>
            </w:pPr>
            <w:r w:rsidRPr="002C60BB">
              <w:rPr>
                <w:sz w:val="20"/>
                <w:szCs w:val="20"/>
              </w:rPr>
              <w:t>copy</w:t>
            </w:r>
          </w:p>
        </w:tc>
        <w:tc>
          <w:tcPr>
            <w:tcW w:w="2340" w:type="dxa"/>
            <w:tcBorders>
              <w:top w:val="single" w:sz="1" w:space="0" w:color="000000"/>
              <w:left w:val="single" w:sz="1" w:space="0" w:color="000000"/>
              <w:bottom w:val="single" w:sz="1" w:space="0" w:color="000000"/>
            </w:tcBorders>
            <w:shd w:val="clear" w:color="auto" w:fill="auto"/>
            <w:vAlign w:val="center"/>
          </w:tcPr>
          <w:p w:rsidR="00692375" w:rsidRPr="002C60BB" w:rsidRDefault="007D522D">
            <w:pPr>
              <w:pStyle w:val="tablecopy"/>
              <w:snapToGrid w:val="0"/>
              <w:rPr>
                <w:sz w:val="20"/>
                <w:szCs w:val="20"/>
              </w:rPr>
            </w:pPr>
            <w:proofErr w:type="spellStart"/>
            <w:r w:rsidRPr="002C60BB">
              <w:rPr>
                <w:sz w:val="20"/>
                <w:szCs w:val="20"/>
              </w:rPr>
              <w:t>Moretablecopy</w:t>
            </w:r>
            <w:r w:rsidRPr="002C60BB">
              <w:rPr>
                <w:sz w:val="20"/>
                <w:szCs w:val="20"/>
                <w:vertAlign w:val="superscript"/>
              </w:rPr>
              <w:t>a</w:t>
            </w:r>
            <w:proofErr w:type="spellEnd"/>
          </w:p>
        </w:tc>
        <w:tc>
          <w:tcPr>
            <w:tcW w:w="1039" w:type="dxa"/>
            <w:tcBorders>
              <w:top w:val="single" w:sz="1" w:space="0" w:color="000000"/>
              <w:left w:val="single" w:sz="1" w:space="0" w:color="000000"/>
              <w:bottom w:val="single" w:sz="1" w:space="0" w:color="000000"/>
            </w:tcBorders>
            <w:shd w:val="clear" w:color="auto" w:fill="auto"/>
            <w:vAlign w:val="center"/>
          </w:tcPr>
          <w:p w:rsidR="00692375" w:rsidRPr="002C60BB" w:rsidRDefault="00692375">
            <w:pPr>
              <w:snapToGrid w:val="0"/>
            </w:pPr>
          </w:p>
        </w:tc>
        <w:tc>
          <w:tcPr>
            <w:tcW w:w="1039" w:type="dxa"/>
            <w:tcBorders>
              <w:top w:val="single" w:sz="1" w:space="0" w:color="000000"/>
              <w:left w:val="single" w:sz="1" w:space="0" w:color="000000"/>
              <w:bottom w:val="single" w:sz="1" w:space="0" w:color="000000"/>
              <w:right w:val="single" w:sz="1" w:space="0" w:color="000000"/>
            </w:tcBorders>
            <w:shd w:val="clear" w:color="auto" w:fill="auto"/>
            <w:vAlign w:val="center"/>
          </w:tcPr>
          <w:p w:rsidR="00692375" w:rsidRPr="002C60BB" w:rsidRDefault="00692375">
            <w:pPr>
              <w:snapToGrid w:val="0"/>
            </w:pPr>
          </w:p>
        </w:tc>
      </w:tr>
    </w:tbl>
    <w:p w:rsidR="00692375" w:rsidRPr="002C60BB" w:rsidRDefault="007D522D" w:rsidP="002C60BB">
      <w:pPr>
        <w:pStyle w:val="Heading1"/>
        <w:numPr>
          <w:ilvl w:val="0"/>
          <w:numId w:val="1"/>
        </w:numPr>
        <w:jc w:val="left"/>
        <w:rPr>
          <w:b/>
        </w:rPr>
      </w:pPr>
      <w:r w:rsidRPr="002C60BB">
        <w:rPr>
          <w:b/>
        </w:rPr>
        <w:lastRenderedPageBreak/>
        <w:t>Acknowledgment</w:t>
      </w:r>
    </w:p>
    <w:p w:rsidR="00692375" w:rsidRDefault="007D522D">
      <w:pPr>
        <w:pStyle w:val="BodyText"/>
      </w:pPr>
      <w:proofErr w:type="spellStart"/>
      <w:r>
        <w:t>Thepreferredspellingoftheword</w:t>
      </w:r>
      <w:proofErr w:type="spellEnd"/>
      <w:r>
        <w:rPr>
          <w:rFonts w:eastAsia="Times New Roman"/>
        </w:rPr>
        <w:t xml:space="preserve"> “</w:t>
      </w:r>
      <w:r>
        <w:t>acknowledgment</w:t>
      </w:r>
      <w:r>
        <w:rPr>
          <w:rFonts w:eastAsia="Times New Roman"/>
        </w:rPr>
        <w:t xml:space="preserve">” </w:t>
      </w:r>
      <w:proofErr w:type="spellStart"/>
      <w:r>
        <w:t>inAmericaiswithoutan</w:t>
      </w:r>
      <w:proofErr w:type="spellEnd"/>
      <w:r>
        <w:rPr>
          <w:rFonts w:eastAsia="Times New Roman"/>
        </w:rPr>
        <w:t xml:space="preserve"> “</w:t>
      </w:r>
      <w:r>
        <w:t>e</w:t>
      </w:r>
      <w:r>
        <w:rPr>
          <w:rFonts w:eastAsia="Times New Roman"/>
        </w:rPr>
        <w:t xml:space="preserve">” </w:t>
      </w:r>
      <w:proofErr w:type="spellStart"/>
      <w:r>
        <w:t>afterthe</w:t>
      </w:r>
      <w:proofErr w:type="spellEnd"/>
      <w:r>
        <w:rPr>
          <w:rFonts w:eastAsia="Times New Roman"/>
        </w:rPr>
        <w:t xml:space="preserve"> “</w:t>
      </w:r>
      <w:r>
        <w:t>g</w:t>
      </w:r>
      <w:proofErr w:type="gramStart"/>
      <w:r>
        <w:rPr>
          <w:rFonts w:eastAsia="Times New Roman"/>
        </w:rPr>
        <w:t>”</w:t>
      </w:r>
      <w:r>
        <w:t>.</w:t>
      </w:r>
      <w:proofErr w:type="spellStart"/>
      <w:r>
        <w:t>Avoidthestiltedexpression</w:t>
      </w:r>
      <w:proofErr w:type="spellEnd"/>
      <w:proofErr w:type="gramEnd"/>
      <w:r>
        <w:t>,</w:t>
      </w:r>
      <w:r>
        <w:rPr>
          <w:rFonts w:eastAsia="Times New Roman"/>
        </w:rPr>
        <w:t xml:space="preserve"> “</w:t>
      </w:r>
      <w:proofErr w:type="spellStart"/>
      <w:r>
        <w:t>Oneofus</w:t>
      </w:r>
      <w:proofErr w:type="spellEnd"/>
      <w:r>
        <w:t>(R.B.G.)thanks...</w:t>
      </w:r>
      <w:r>
        <w:rPr>
          <w:rFonts w:eastAsia="Times New Roman"/>
        </w:rPr>
        <w:t xml:space="preserve">”  </w:t>
      </w:r>
      <w:proofErr w:type="gramStart"/>
      <w:r>
        <w:t>Instead,try</w:t>
      </w:r>
      <w:proofErr w:type="gramEnd"/>
      <w:r>
        <w:rPr>
          <w:rFonts w:eastAsia="Times New Roman"/>
        </w:rPr>
        <w:t>“</w:t>
      </w:r>
      <w:r>
        <w:t>R.B.G.thanks</w:t>
      </w:r>
      <w:r>
        <w:rPr>
          <w:rFonts w:eastAsia="Times New Roman"/>
        </w:rPr>
        <w:t>”</w:t>
      </w:r>
      <w:r>
        <w:t>.Putapplicablesponsoracknowledgmentshere;DONOTplacethemonthefirstpageofyourpaperorasafootnote.</w:t>
      </w:r>
    </w:p>
    <w:p w:rsidR="00692375" w:rsidRPr="002C60BB" w:rsidRDefault="007D522D" w:rsidP="002C60BB">
      <w:pPr>
        <w:pStyle w:val="Heading1"/>
        <w:tabs>
          <w:tab w:val="clear" w:pos="0"/>
        </w:tabs>
        <w:ind w:firstLine="0"/>
        <w:jc w:val="left"/>
        <w:rPr>
          <w:b/>
        </w:rPr>
      </w:pPr>
      <w:r w:rsidRPr="002C60BB">
        <w:rPr>
          <w:b/>
        </w:rPr>
        <w:t>References</w:t>
      </w:r>
    </w:p>
    <w:p w:rsidR="00C26B91" w:rsidRDefault="00C26B91" w:rsidP="00C26B91">
      <w:pPr>
        <w:ind w:left="270" w:hanging="270"/>
        <w:jc w:val="both"/>
        <w:rPr>
          <w:b/>
          <w:bCs/>
        </w:rPr>
      </w:pPr>
      <w:r>
        <w:rPr>
          <w:b/>
          <w:bCs/>
        </w:rPr>
        <w:t xml:space="preserve">[1] </w:t>
      </w:r>
      <w:r w:rsidRPr="00691748">
        <w:t>Ali, A. 2001.Macroeconomic variables as common pervasive risk factors and the empirical content of the Arbitrage Pricing Theory. Journal of Empirical finance, 5(3): 221–240.</w:t>
      </w:r>
    </w:p>
    <w:p w:rsidR="00C26B91" w:rsidRDefault="00C26B91" w:rsidP="00C26B91">
      <w:pPr>
        <w:ind w:left="270" w:hanging="270"/>
        <w:jc w:val="both"/>
        <w:rPr>
          <w:b/>
          <w:bCs/>
        </w:rPr>
      </w:pPr>
      <w:r>
        <w:rPr>
          <w:b/>
          <w:bCs/>
        </w:rPr>
        <w:t xml:space="preserve">[2] </w:t>
      </w:r>
      <w:proofErr w:type="spellStart"/>
      <w:r w:rsidRPr="00691748">
        <w:t>Basu</w:t>
      </w:r>
      <w:proofErr w:type="spellEnd"/>
      <w:r w:rsidRPr="00691748">
        <w:t>, S. 1997. The Investment Performance of Common Stocks in Relation to their Price to Earnings Ratio: A Test of the Efficient Markets Hypothesis. Journal of Finance, 33(3): 663-682.</w:t>
      </w:r>
    </w:p>
    <w:p w:rsidR="00C26B91" w:rsidRDefault="00C26B91" w:rsidP="00C26B91">
      <w:pPr>
        <w:ind w:left="270" w:hanging="270"/>
        <w:jc w:val="both"/>
        <w:rPr>
          <w:b/>
          <w:bCs/>
        </w:rPr>
      </w:pPr>
      <w:r>
        <w:rPr>
          <w:b/>
          <w:bCs/>
        </w:rPr>
        <w:t xml:space="preserve">[3] </w:t>
      </w:r>
      <w:r w:rsidRPr="00691748">
        <w:t xml:space="preserve">Bhatti, U. and </w:t>
      </w:r>
      <w:proofErr w:type="spellStart"/>
      <w:r w:rsidRPr="00691748">
        <w:t>Hanif</w:t>
      </w:r>
      <w:proofErr w:type="spellEnd"/>
      <w:r w:rsidRPr="00691748">
        <w:t xml:space="preserve">. M. 2010. Validity of Capital Assets Pricing </w:t>
      </w:r>
      <w:proofErr w:type="spellStart"/>
      <w:r w:rsidRPr="00691748">
        <w:t>Model.Evidence</w:t>
      </w:r>
      <w:proofErr w:type="spellEnd"/>
      <w:r w:rsidRPr="00691748">
        <w:t xml:space="preserve"> from KSE-</w:t>
      </w:r>
      <w:proofErr w:type="spellStart"/>
      <w:r w:rsidRPr="00691748">
        <w:t>Pakistan.European</w:t>
      </w:r>
      <w:proofErr w:type="spellEnd"/>
      <w:r w:rsidRPr="00691748">
        <w:t xml:space="preserve"> Journal of Economics, Finance and Administrative Science, 3 (20).</w:t>
      </w:r>
    </w:p>
    <w:p w:rsidR="007D522D" w:rsidRDefault="007D522D"/>
    <w:p w:rsidR="00F01058" w:rsidRDefault="00F01058"/>
    <w:p w:rsidR="00F01058" w:rsidRDefault="00F01058"/>
    <w:p w:rsidR="00F01058" w:rsidRDefault="00F01058"/>
    <w:p w:rsidR="00F01058" w:rsidRDefault="00F01058"/>
    <w:p w:rsidR="00F01058" w:rsidRDefault="00F01058"/>
    <w:p w:rsidR="00F01058" w:rsidRDefault="00F01058"/>
    <w:p w:rsidR="00F01058" w:rsidRDefault="00F01058"/>
    <w:p w:rsidR="00F01058" w:rsidRDefault="00F01058"/>
    <w:p w:rsidR="00F01058" w:rsidRDefault="00F01058"/>
    <w:p w:rsidR="00F01058" w:rsidRDefault="00F01058"/>
    <w:p w:rsidR="00F01058" w:rsidRDefault="00F01058"/>
    <w:p w:rsidR="00F01058" w:rsidRDefault="00F01058"/>
    <w:p w:rsidR="00F01058" w:rsidRDefault="00F01058"/>
    <w:p w:rsidR="00F01058" w:rsidRDefault="00F01058"/>
    <w:p w:rsidR="00F01058" w:rsidRDefault="00F01058"/>
    <w:tbl>
      <w:tblPr>
        <w:tblStyle w:val="TableGrid"/>
        <w:tblpPr w:leftFromText="180" w:rightFromText="180" w:vertAnchor="text" w:horzAnchor="margin" w:tblpY="679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6"/>
        <w:gridCol w:w="8472"/>
      </w:tblGrid>
      <w:tr w:rsidR="00F01058" w:rsidTr="00F01058">
        <w:tc>
          <w:tcPr>
            <w:tcW w:w="1966" w:type="dxa"/>
          </w:tcPr>
          <w:p w:rsidR="00F01058" w:rsidRDefault="00F01058" w:rsidP="00F01058">
            <w:pPr>
              <w:jc w:val="both"/>
            </w:pPr>
            <w:r>
              <w:rPr>
                <w:noProof/>
                <w:lang w:eastAsia="en-US"/>
              </w:rPr>
              <w:drawing>
                <wp:inline distT="0" distB="0" distL="0" distR="0" wp14:anchorId="7BF34453" wp14:editId="3E91149F">
                  <wp:extent cx="1111250" cy="684113"/>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logo-original.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26727" cy="693641"/>
                          </a:xfrm>
                          <a:prstGeom prst="rect">
                            <a:avLst/>
                          </a:prstGeom>
                        </pic:spPr>
                      </pic:pic>
                    </a:graphicData>
                  </a:graphic>
                </wp:inline>
              </w:drawing>
            </w:r>
          </w:p>
        </w:tc>
        <w:tc>
          <w:tcPr>
            <w:tcW w:w="8472" w:type="dxa"/>
          </w:tcPr>
          <w:p w:rsidR="00F01058" w:rsidRDefault="00F01058" w:rsidP="00F01058">
            <w:pPr>
              <w:jc w:val="both"/>
              <w:rPr>
                <w:b/>
              </w:rPr>
            </w:pPr>
            <w:r w:rsidRPr="007E1E20">
              <w:rPr>
                <w:b/>
              </w:rPr>
              <w:t>Copyright &amp; License:</w:t>
            </w:r>
          </w:p>
          <w:p w:rsidR="00F01058" w:rsidRPr="007E1E20" w:rsidRDefault="00F01058" w:rsidP="00F01058">
            <w:pPr>
              <w:jc w:val="both"/>
              <w:rPr>
                <w:b/>
              </w:rPr>
            </w:pPr>
          </w:p>
          <w:p w:rsidR="00F01058" w:rsidRDefault="00F01058" w:rsidP="00F01058">
            <w:pPr>
              <w:jc w:val="both"/>
            </w:pPr>
            <w:r>
              <w:t>© Authors retain the copyright of this article. This work is published under the Creative Commons Attribution 4.0 International License (CC BY 4.0), permitting unrestricted use, distribution, and reproduction in any medium, provided the original work is properly cited.</w:t>
            </w:r>
          </w:p>
        </w:tc>
      </w:tr>
    </w:tbl>
    <w:p w:rsidR="00F01058" w:rsidRDefault="00F01058">
      <w:bookmarkStart w:id="0" w:name="_GoBack"/>
      <w:bookmarkEnd w:id="0"/>
    </w:p>
    <w:sectPr w:rsidR="00F01058" w:rsidSect="00F01058">
      <w:headerReference w:type="even" r:id="rId8"/>
      <w:headerReference w:type="default" r:id="rId9"/>
      <w:footerReference w:type="default" r:id="rId10"/>
      <w:headerReference w:type="first" r:id="rId11"/>
      <w:type w:val="continuous"/>
      <w:pgSz w:w="11906" w:h="16838"/>
      <w:pgMar w:top="1196" w:right="734" w:bottom="1080" w:left="734" w:header="360" w:footer="0" w:gutter="0"/>
      <w:pgNumType w:start="2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EC6" w:rsidRDefault="00D00EC6" w:rsidP="003C5B4F">
      <w:r>
        <w:separator/>
      </w:r>
    </w:p>
  </w:endnote>
  <w:endnote w:type="continuationSeparator" w:id="0">
    <w:p w:rsidR="00D00EC6" w:rsidRDefault="00D00EC6" w:rsidP="003C5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charset w:val="80"/>
    <w:family w:val="auto"/>
    <w:pitch w:val="variable"/>
  </w:font>
  <w:font w:name="Lohit Hindi">
    <w:altName w:val="MS Gothic"/>
    <w:charset w:val="8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425" w:type="dxa"/>
      <w:jc w:val="center"/>
      <w:tblBorders>
        <w:top w:val="single" w:sz="12" w:space="0" w:color="auto"/>
        <w:insideH w:val="single" w:sz="4" w:space="0" w:color="auto"/>
        <w:insideV w:val="single" w:sz="4" w:space="0" w:color="auto"/>
      </w:tblBorders>
      <w:tblLayout w:type="fixed"/>
      <w:tblLook w:val="04A0" w:firstRow="1" w:lastRow="0" w:firstColumn="1" w:lastColumn="0" w:noHBand="0" w:noVBand="1"/>
    </w:tblPr>
    <w:tblGrid>
      <w:gridCol w:w="1614"/>
      <w:gridCol w:w="7920"/>
      <w:gridCol w:w="891"/>
    </w:tblGrid>
    <w:tr w:rsidR="00D71D91" w:rsidRPr="00C020F5" w:rsidTr="00725842">
      <w:trPr>
        <w:trHeight w:val="70"/>
        <w:jc w:val="center"/>
      </w:trPr>
      <w:tc>
        <w:tcPr>
          <w:tcW w:w="1614" w:type="dxa"/>
          <w:vAlign w:val="center"/>
          <w:hideMark/>
        </w:tcPr>
        <w:p w:rsidR="00D71D91" w:rsidRPr="00C020F5" w:rsidRDefault="00D71D91" w:rsidP="00725842">
          <w:pPr>
            <w:pStyle w:val="Footer"/>
            <w:spacing w:before="40" w:after="40"/>
            <w:rPr>
              <w:rFonts w:ascii="Arial" w:hAnsi="Arial" w:cs="Arial"/>
              <w:b/>
              <w:bCs/>
              <w:color w:val="1F3864"/>
            </w:rPr>
          </w:pPr>
          <w:r w:rsidRPr="00C020F5">
            <w:rPr>
              <w:rFonts w:ascii="Arial" w:hAnsi="Arial" w:cs="Arial"/>
              <w:b/>
              <w:bCs/>
              <w:color w:val="1F3864"/>
            </w:rPr>
            <w:t>IJCRT1601009</w:t>
          </w:r>
        </w:p>
      </w:tc>
      <w:tc>
        <w:tcPr>
          <w:tcW w:w="7920" w:type="dxa"/>
          <w:vAlign w:val="center"/>
          <w:hideMark/>
        </w:tcPr>
        <w:p w:rsidR="00D71D91" w:rsidRPr="00C020F5" w:rsidRDefault="00C15795" w:rsidP="00C15795">
          <w:pPr>
            <w:pStyle w:val="Footer"/>
            <w:spacing w:before="40" w:after="40"/>
            <w:rPr>
              <w:rFonts w:ascii="Arial" w:hAnsi="Arial" w:cs="Arial"/>
              <w:b/>
              <w:bCs/>
              <w:color w:val="1F3864"/>
            </w:rPr>
          </w:pPr>
          <w:r w:rsidRPr="00C020F5">
            <w:rPr>
              <w:rFonts w:ascii="Arial" w:hAnsi="Arial" w:cs="Arial"/>
              <w:b/>
              <w:bCs/>
              <w:color w:val="1F3864"/>
            </w:rPr>
            <w:t xml:space="preserve">International Journal of Creative Research Thoughts (IJCRT) </w:t>
          </w:r>
          <w:hyperlink r:id="rId1" w:history="1">
            <w:r w:rsidRPr="00C020F5">
              <w:rPr>
                <w:rStyle w:val="Hyperlink"/>
                <w:rFonts w:ascii="Arial" w:hAnsi="Arial" w:cs="Arial"/>
                <w:b/>
                <w:bCs/>
              </w:rPr>
              <w:t>www.ijcrt.org</w:t>
            </w:r>
          </w:hyperlink>
        </w:p>
      </w:tc>
      <w:tc>
        <w:tcPr>
          <w:tcW w:w="891" w:type="dxa"/>
          <w:vAlign w:val="center"/>
          <w:hideMark/>
        </w:tcPr>
        <w:p w:rsidR="00D71D91" w:rsidRPr="00C020F5" w:rsidRDefault="000A1397" w:rsidP="00725842">
          <w:pPr>
            <w:pStyle w:val="Header"/>
            <w:spacing w:before="40" w:after="40"/>
            <w:rPr>
              <w:rFonts w:ascii="Arial" w:hAnsi="Arial" w:cs="Arial"/>
              <w:b/>
              <w:color w:val="1F3864"/>
            </w:rPr>
          </w:pPr>
          <w:r w:rsidRPr="00C020F5">
            <w:rPr>
              <w:rFonts w:ascii="Arial" w:hAnsi="Arial" w:cs="Arial"/>
              <w:b/>
              <w:color w:val="1F3864"/>
            </w:rPr>
            <w:fldChar w:fldCharType="begin"/>
          </w:r>
          <w:r w:rsidR="00D71D91" w:rsidRPr="00C020F5">
            <w:rPr>
              <w:rFonts w:ascii="Arial" w:hAnsi="Arial" w:cs="Arial"/>
              <w:b/>
              <w:color w:val="1F3864"/>
            </w:rPr>
            <w:instrText xml:space="preserve"> PAGE   \* MERGEFORMAT </w:instrText>
          </w:r>
          <w:r w:rsidRPr="00C020F5">
            <w:rPr>
              <w:rFonts w:ascii="Arial" w:hAnsi="Arial" w:cs="Arial"/>
              <w:b/>
              <w:color w:val="1F3864"/>
            </w:rPr>
            <w:fldChar w:fldCharType="separate"/>
          </w:r>
          <w:r w:rsidR="00F01058">
            <w:rPr>
              <w:rFonts w:ascii="Arial" w:hAnsi="Arial" w:cs="Arial"/>
              <w:b/>
              <w:noProof/>
              <w:color w:val="1F3864"/>
            </w:rPr>
            <w:t>30</w:t>
          </w:r>
          <w:r w:rsidRPr="00C020F5">
            <w:rPr>
              <w:rFonts w:ascii="Arial" w:hAnsi="Arial" w:cs="Arial"/>
              <w:b/>
              <w:color w:val="1F3864"/>
            </w:rPr>
            <w:fldChar w:fldCharType="end"/>
          </w:r>
        </w:p>
      </w:tc>
    </w:tr>
  </w:tbl>
  <w:p w:rsidR="00437460" w:rsidRPr="00A96917" w:rsidRDefault="00437460" w:rsidP="00437460">
    <w:pPr>
      <w:pStyle w:val="Footer"/>
      <w:jc w:val="both"/>
      <w:rPr>
        <w:rFonts w:asciiTheme="majorHAnsi" w:hAnsiTheme="majorHAnsi"/>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EC6" w:rsidRDefault="00D00EC6" w:rsidP="003C5B4F">
      <w:r>
        <w:separator/>
      </w:r>
    </w:p>
  </w:footnote>
  <w:footnote w:type="continuationSeparator" w:id="0">
    <w:p w:rsidR="00D00EC6" w:rsidRDefault="00D00EC6" w:rsidP="003C5B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B07" w:rsidRDefault="00D00EC6">
    <w:pPr>
      <w:pStyle w:val="Header"/>
    </w:pPr>
    <w:r>
      <w:rPr>
        <w:noProof/>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223311" o:spid="_x0000_s2056" type="#_x0000_t75" style="position:absolute;left:0;text-align:left;margin-left:0;margin-top:0;width:471.35pt;height:290.25pt;z-index:-251657728;mso-position-horizontal:center;mso-position-horizontal-relative:margin;mso-position-vertical:center;mso-position-vertical-relative:margin" o:allowincell="f">
          <v:imagedata r:id="rId1" o:title="smalled-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058" w:rsidRDefault="00F01058" w:rsidP="00F01058">
    <w:pPr>
      <w:pStyle w:val="Header"/>
      <w:rPr>
        <w:rFonts w:ascii="Cambria" w:hAnsi="Cambria"/>
        <w:color w:val="215868" w:themeColor="accent5" w:themeShade="80"/>
      </w:rPr>
    </w:pPr>
    <w:r>
      <w:rPr>
        <w:noProof/>
        <w:lang w:eastAsia="en-US"/>
      </w:rPr>
      <w:drawing>
        <wp:anchor distT="0" distB="0" distL="114300" distR="114300" simplePos="0" relativeHeight="251664896" behindDoc="1" locked="0" layoutInCell="1" allowOverlap="1">
          <wp:simplePos x="0" y="0"/>
          <wp:positionH relativeFrom="column">
            <wp:posOffset>41910</wp:posOffset>
          </wp:positionH>
          <wp:positionV relativeFrom="paragraph">
            <wp:posOffset>-57150</wp:posOffset>
          </wp:positionV>
          <wp:extent cx="774700" cy="476885"/>
          <wp:effectExtent l="0" t="0" r="6350" b="0"/>
          <wp:wrapTight wrapText="bothSides">
            <wp:wrapPolygon edited="0">
              <wp:start x="3718" y="0"/>
              <wp:lineTo x="0" y="3451"/>
              <wp:lineTo x="0" y="20708"/>
              <wp:lineTo x="10092" y="20708"/>
              <wp:lineTo x="16466" y="20708"/>
              <wp:lineTo x="16997" y="20708"/>
              <wp:lineTo x="20715" y="13806"/>
              <wp:lineTo x="21246" y="7766"/>
              <wp:lineTo x="15403" y="2589"/>
              <wp:lineTo x="6905" y="0"/>
              <wp:lineTo x="3718"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original.png"/>
                  <pic:cNvPicPr/>
                </pic:nvPicPr>
                <pic:blipFill>
                  <a:blip r:embed="rId1">
                    <a:extLst>
                      <a:ext uri="{28A0092B-C50C-407E-A947-70E740481C1C}">
                        <a14:useLocalDpi xmlns:a14="http://schemas.microsoft.com/office/drawing/2010/main" val="0"/>
                      </a:ext>
                    </a:extLst>
                  </a:blip>
                  <a:stretch>
                    <a:fillRect/>
                  </a:stretch>
                </pic:blipFill>
                <pic:spPr>
                  <a:xfrm>
                    <a:off x="0" y="0"/>
                    <a:ext cx="774700" cy="47688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63872" behindDoc="0" locked="0" layoutInCell="1" allowOverlap="1" wp14:anchorId="4A3A6AA1" wp14:editId="3E19707E">
          <wp:simplePos x="0" y="0"/>
          <wp:positionH relativeFrom="column">
            <wp:posOffset>6007735</wp:posOffset>
          </wp:positionH>
          <wp:positionV relativeFrom="paragraph">
            <wp:posOffset>6350</wp:posOffset>
          </wp:positionV>
          <wp:extent cx="624840" cy="302260"/>
          <wp:effectExtent l="0" t="0" r="3810" b="2540"/>
          <wp:wrapThrough wrapText="bothSides">
            <wp:wrapPolygon edited="0">
              <wp:start x="0" y="0"/>
              <wp:lineTo x="0" y="20420"/>
              <wp:lineTo x="21073" y="20420"/>
              <wp:lineTo x="21073" y="0"/>
              <wp:lineTo x="0" y="0"/>
            </wp:wrapPolygon>
          </wp:wrapThrough>
          <wp:docPr id="23" name="Picture 23" descr="https://ijnrd.org/assets/img/OpenAcc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jnrd.org/assets/img/OpenAccess.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24840" cy="3022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mbria" w:hAnsi="Cambria"/>
        <w:color w:val="215868" w:themeColor="accent5" w:themeShade="80"/>
      </w:rPr>
      <w:t xml:space="preserve">  </w:t>
    </w:r>
    <w:r w:rsidRPr="00F01058">
      <w:rPr>
        <w:rFonts w:ascii="Cambria" w:hAnsi="Cambria"/>
        <w:color w:val="215868" w:themeColor="accent5" w:themeShade="80"/>
      </w:rPr>
      <w:t>INTERNATIONAL JOURNAL OF CREATIVE RESEARCH THOUGHTS</w:t>
    </w:r>
    <w:r>
      <w:rPr>
        <w:rFonts w:ascii="Cambria" w:hAnsi="Cambria"/>
        <w:color w:val="215868" w:themeColor="accent5" w:themeShade="80"/>
      </w:rPr>
      <w:t xml:space="preserve"> </w:t>
    </w:r>
    <w:r>
      <w:rPr>
        <w:rFonts w:ascii="Cambria" w:hAnsi="Cambria"/>
        <w:color w:val="215868" w:themeColor="accent5" w:themeShade="80"/>
      </w:rPr>
      <w:t>(</w:t>
    </w:r>
    <w:r>
      <w:rPr>
        <w:rFonts w:ascii="Cambria" w:hAnsi="Cambria"/>
        <w:color w:val="215868" w:themeColor="accent5" w:themeShade="80"/>
      </w:rPr>
      <w:t>IJCRT</w:t>
    </w:r>
    <w:r>
      <w:rPr>
        <w:rFonts w:ascii="Cambria" w:hAnsi="Cambria"/>
        <w:color w:val="215868" w:themeColor="accent5" w:themeShade="80"/>
      </w:rPr>
      <w:t>)</w:t>
    </w:r>
  </w:p>
  <w:p w:rsidR="00F01058" w:rsidRDefault="00F01058" w:rsidP="00F01058">
    <w:pPr>
      <w:pStyle w:val="Header"/>
      <w:rPr>
        <w:rFonts w:ascii="Cambria" w:hAnsi="Cambria"/>
        <w:color w:val="215868" w:themeColor="accent5" w:themeShade="80"/>
      </w:rPr>
    </w:pPr>
    <w:r w:rsidRPr="00F01058">
      <w:rPr>
        <w:rFonts w:ascii="Cambria" w:hAnsi="Cambria"/>
        <w:color w:val="215868" w:themeColor="accent5" w:themeShade="80"/>
      </w:rPr>
      <w:t>© 20XX IJCRT | Volume X, Issue X</w:t>
    </w:r>
    <w:r>
      <w:rPr>
        <w:rFonts w:ascii="Cambria" w:hAnsi="Cambria"/>
        <w:color w:val="215868" w:themeColor="accent5" w:themeShade="80"/>
      </w:rPr>
      <w:t>, Month 20XX</w:t>
    </w:r>
    <w:r w:rsidRPr="00F01058">
      <w:rPr>
        <w:rFonts w:ascii="Cambria" w:hAnsi="Cambria"/>
        <w:color w:val="215868" w:themeColor="accent5" w:themeShade="80"/>
      </w:rPr>
      <w:t xml:space="preserve"> | ISSN: 2320-2882</w:t>
    </w:r>
    <w:r>
      <w:rPr>
        <w:rFonts w:ascii="Cambria" w:hAnsi="Cambria"/>
        <w:color w:val="215868" w:themeColor="accent5" w:themeShade="80"/>
      </w:rPr>
      <w:t xml:space="preserve"> | </w:t>
    </w:r>
    <w:r w:rsidRPr="00F01058">
      <w:rPr>
        <w:rFonts w:ascii="Cambria" w:hAnsi="Cambria"/>
        <w:color w:val="215868" w:themeColor="accent5" w:themeShade="80"/>
      </w:rPr>
      <w:t xml:space="preserve">IJCRT.ORG                                     </w:t>
    </w:r>
  </w:p>
  <w:p w:rsidR="003C5B4F" w:rsidRPr="00C020F5" w:rsidRDefault="003C5B4F" w:rsidP="00F01058">
    <w:pPr>
      <w:pStyle w:val="Header"/>
      <w:jc w:val="both"/>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B07" w:rsidRDefault="00D00EC6">
    <w:pPr>
      <w:pStyle w:val="Header"/>
    </w:pPr>
    <w:r>
      <w:rPr>
        <w:noProof/>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223310" o:spid="_x0000_s2055" type="#_x0000_t75" style="position:absolute;left:0;text-align:left;margin-left:0;margin-top:0;width:471.35pt;height:290.25pt;z-index:-251658752;mso-position-horizontal:center;mso-position-horizontal-relative:margin;mso-position-vertical:center;mso-position-vertical-relative:margin" o:allowincell="f">
          <v:imagedata r:id="rId1" o:title="smalled-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upperRoman"/>
      <w:suff w:val="space"/>
      <w:lvlText w:val="%1."/>
      <w:lvlJc w:val="center"/>
      <w:pPr>
        <w:tabs>
          <w:tab w:val="num" w:pos="0"/>
        </w:tabs>
        <w:ind w:left="0" w:firstLine="216"/>
      </w:pPr>
      <w:rPr>
        <w:rFonts w:cs="Times New Roman"/>
        <w:i w:val="0"/>
        <w:iCs w:val="0"/>
      </w:rPr>
    </w:lvl>
    <w:lvl w:ilvl="1">
      <w:start w:val="1"/>
      <w:numFmt w:val="upperLetter"/>
      <w:lvlText w:val="%2."/>
      <w:lvlJc w:val="left"/>
      <w:pPr>
        <w:tabs>
          <w:tab w:val="num" w:pos="227"/>
        </w:tabs>
        <w:ind w:left="288" w:hanging="288"/>
      </w:pPr>
      <w:rPr>
        <w:rFonts w:cs="Times New Roman"/>
      </w:rPr>
    </w:lvl>
    <w:lvl w:ilvl="2">
      <w:start w:val="1"/>
      <w:numFmt w:val="decimal"/>
      <w:lvlText w:val="%3)"/>
      <w:lvlJc w:val="left"/>
      <w:pPr>
        <w:tabs>
          <w:tab w:val="num" w:pos="425"/>
        </w:tabs>
        <w:ind w:left="0" w:firstLine="180"/>
      </w:pPr>
      <w:rPr>
        <w:rFonts w:cs="Times New Roman"/>
      </w:rPr>
    </w:lvl>
    <w:lvl w:ilvl="3">
      <w:start w:val="1"/>
      <w:numFmt w:val="lowerLetter"/>
      <w:lvlText w:val="%4)"/>
      <w:lvlJc w:val="left"/>
      <w:pPr>
        <w:tabs>
          <w:tab w:val="num" w:pos="630"/>
        </w:tabs>
        <w:ind w:left="0" w:firstLine="360"/>
      </w:pPr>
      <w:rPr>
        <w:rFonts w:ascii="Times New Roman" w:hAnsi="Times New Roman" w:cs="Times New Roman"/>
        <w:b w:val="0"/>
        <w:bCs w:val="0"/>
        <w:i/>
        <w:iCs/>
        <w:sz w:val="20"/>
        <w:szCs w:val="20"/>
      </w:rPr>
    </w:lvl>
    <w:lvl w:ilvl="4">
      <w:start w:val="1"/>
      <w:numFmt w:val="none"/>
      <w:suff w:val="nothing"/>
      <w:lvlText w:val=""/>
      <w:lvlJc w:val="left"/>
      <w:pPr>
        <w:tabs>
          <w:tab w:val="num" w:pos="0"/>
        </w:tabs>
        <w:ind w:left="2880" w:firstLine="0"/>
      </w:pPr>
      <w:rPr>
        <w:rFonts w:cs="Times New Roman"/>
      </w:rPr>
    </w:lvl>
    <w:lvl w:ilvl="5">
      <w:start w:val="1"/>
      <w:numFmt w:val="lowerLetter"/>
      <w:lvlText w:val="(%6)"/>
      <w:lvlJc w:val="left"/>
      <w:pPr>
        <w:tabs>
          <w:tab w:val="num" w:pos="3960"/>
        </w:tabs>
        <w:ind w:left="3600" w:firstLine="0"/>
      </w:pPr>
      <w:rPr>
        <w:rFonts w:cs="Times New Roman"/>
      </w:rPr>
    </w:lvl>
    <w:lvl w:ilvl="6">
      <w:start w:val="1"/>
      <w:numFmt w:val="lowerRoman"/>
      <w:lvlText w:val="(%7)"/>
      <w:lvlJc w:val="left"/>
      <w:pPr>
        <w:tabs>
          <w:tab w:val="num" w:pos="4680"/>
        </w:tabs>
        <w:ind w:left="4320" w:firstLine="0"/>
      </w:pPr>
      <w:rPr>
        <w:rFonts w:cs="Times New Roman"/>
      </w:rPr>
    </w:lvl>
    <w:lvl w:ilvl="7">
      <w:start w:val="1"/>
      <w:numFmt w:val="lowerLetter"/>
      <w:lvlText w:val="(%8)"/>
      <w:lvlJc w:val="left"/>
      <w:pPr>
        <w:tabs>
          <w:tab w:val="num" w:pos="5400"/>
        </w:tabs>
        <w:ind w:left="5040" w:firstLine="0"/>
      </w:pPr>
      <w:rPr>
        <w:rFonts w:cs="Times New Roman"/>
      </w:rPr>
    </w:lvl>
    <w:lvl w:ilvl="8">
      <w:start w:val="1"/>
      <w:numFmt w:val="lowerRoman"/>
      <w:lvlText w:val="(%9)"/>
      <w:lvlJc w:val="left"/>
      <w:pPr>
        <w:tabs>
          <w:tab w:val="num" w:pos="6120"/>
        </w:tabs>
        <w:ind w:left="5760" w:firstLine="0"/>
      </w:pPr>
      <w:rPr>
        <w:rFonts w:cs="Times New Roman"/>
      </w:rPr>
    </w:lvl>
  </w:abstractNum>
  <w:abstractNum w:abstractNumId="1" w15:restartNumberingAfterBreak="0">
    <w:nsid w:val="00000002"/>
    <w:multiLevelType w:val="singleLevel"/>
    <w:tmpl w:val="00000002"/>
    <w:name w:val="WW8Num2"/>
    <w:lvl w:ilvl="0">
      <w:start w:val="1"/>
      <w:numFmt w:val="decimal"/>
      <w:lvlText w:val="%1 "/>
      <w:lvlJc w:val="left"/>
      <w:pPr>
        <w:tabs>
          <w:tab w:val="num" w:pos="648"/>
        </w:tabs>
        <w:ind w:left="0" w:firstLine="288"/>
      </w:pPr>
      <w:rPr>
        <w:rFonts w:ascii="Times New Roman" w:hAnsi="Times New Roman" w:cs="Times New Roman"/>
        <w:b w:val="0"/>
        <w:bCs w:val="0"/>
        <w:i w:val="0"/>
        <w:iCs w:val="0"/>
        <w:caps w:val="0"/>
        <w:small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0000003"/>
    <w:multiLevelType w:val="singleLevel"/>
    <w:tmpl w:val="00000003"/>
    <w:name w:val="WW8Num3"/>
    <w:lvl w:ilvl="0">
      <w:start w:val="1"/>
      <w:numFmt w:val="bullet"/>
      <w:lvlText w:val=""/>
      <w:lvlJc w:val="left"/>
      <w:pPr>
        <w:tabs>
          <w:tab w:val="num" w:pos="648"/>
        </w:tabs>
        <w:ind w:left="648" w:hanging="360"/>
      </w:pPr>
      <w:rPr>
        <w:rFonts w:ascii="Symbol" w:hAnsi="Symbol" w:cs="Symbol"/>
      </w:rPr>
    </w:lvl>
  </w:abstractNum>
  <w:abstractNum w:abstractNumId="3" w15:restartNumberingAfterBreak="0">
    <w:nsid w:val="00000004"/>
    <w:multiLevelType w:val="singleLevel"/>
    <w:tmpl w:val="00000004"/>
    <w:name w:val="WW8Num4"/>
    <w:lvl w:ilvl="0">
      <w:start w:val="1"/>
      <w:numFmt w:val="decimal"/>
      <w:lvlText w:val="[%1]"/>
      <w:lvlJc w:val="left"/>
      <w:pPr>
        <w:tabs>
          <w:tab w:val="num" w:pos="360"/>
        </w:tabs>
        <w:ind w:left="360" w:hanging="360"/>
      </w:pPr>
      <w:rPr>
        <w:rFonts w:cs="Times New Roman"/>
      </w:rPr>
    </w:lvl>
  </w:abstractNum>
  <w:abstractNum w:abstractNumId="4" w15:restartNumberingAfterBreak="0">
    <w:nsid w:val="00000005"/>
    <w:multiLevelType w:val="singleLevel"/>
    <w:tmpl w:val="00000005"/>
    <w:name w:val="WW8Num5"/>
    <w:lvl w:ilvl="0">
      <w:start w:val="1"/>
      <w:numFmt w:val="upperRoman"/>
      <w:suff w:val="space"/>
      <w:lvlText w:val="TABLE %1. "/>
      <w:lvlJc w:val="left"/>
      <w:pPr>
        <w:tabs>
          <w:tab w:val="num" w:pos="0"/>
        </w:tabs>
        <w:ind w:left="0" w:firstLine="0"/>
      </w:pPr>
      <w:rPr>
        <w:rFonts w:ascii="Times New Roman" w:hAnsi="Times New Roman" w:cs="Times New Roman"/>
        <w:caps w:val="0"/>
        <w:smallCaps w:val="0"/>
        <w:strike w:val="0"/>
        <w:dstrike w:val="0"/>
        <w:vanish w:val="0"/>
        <w:color w:val="auto"/>
        <w:position w:val="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0000006"/>
    <w:multiLevelType w:val="singleLevel"/>
    <w:tmpl w:val="00000006"/>
    <w:name w:val="WW8Num6"/>
    <w:lvl w:ilvl="0">
      <w:start w:val="1"/>
      <w:numFmt w:val="decimal"/>
      <w:suff w:val="space"/>
      <w:lvlText w:val="Fig. %1. "/>
      <w:lvlJc w:val="left"/>
      <w:pPr>
        <w:tabs>
          <w:tab w:val="num" w:pos="0"/>
        </w:tabs>
        <w:ind w:left="360" w:hanging="360"/>
      </w:pPr>
      <w:rPr>
        <w:rFonts w:ascii="Times New Roman" w:hAnsi="Times New Roman" w:cs="Times New Roman"/>
        <w:b w:val="0"/>
        <w:bCs w:val="0"/>
        <w:i w:val="0"/>
        <w:iCs w:val="0"/>
        <w:sz w:val="16"/>
        <w:szCs w:val="16"/>
      </w:rPr>
    </w:lvl>
  </w:abstractNum>
  <w:abstractNum w:abstractNumId="6" w15:restartNumberingAfterBreak="0">
    <w:nsid w:val="40385735"/>
    <w:multiLevelType w:val="hybridMultilevel"/>
    <w:tmpl w:val="A4B2F418"/>
    <w:lvl w:ilvl="0" w:tplc="FCFCF5DE">
      <w:start w:val="1"/>
      <w:numFmt w:val="bullet"/>
      <w:lvlText w:val=""/>
      <w:lvlJc w:val="left"/>
      <w:pPr>
        <w:tabs>
          <w:tab w:val="num" w:pos="720"/>
        </w:tabs>
        <w:ind w:left="720" w:hanging="360"/>
      </w:pPr>
      <w:rPr>
        <w:rFonts w:ascii="Wingdings" w:hAnsi="Wingdings" w:hint="default"/>
      </w:rPr>
    </w:lvl>
    <w:lvl w:ilvl="1" w:tplc="E432DA1A" w:tentative="1">
      <w:start w:val="1"/>
      <w:numFmt w:val="bullet"/>
      <w:lvlText w:val=""/>
      <w:lvlJc w:val="left"/>
      <w:pPr>
        <w:tabs>
          <w:tab w:val="num" w:pos="1440"/>
        </w:tabs>
        <w:ind w:left="1440" w:hanging="360"/>
      </w:pPr>
      <w:rPr>
        <w:rFonts w:ascii="Wingdings" w:hAnsi="Wingdings" w:hint="default"/>
      </w:rPr>
    </w:lvl>
    <w:lvl w:ilvl="2" w:tplc="BC129A5A" w:tentative="1">
      <w:start w:val="1"/>
      <w:numFmt w:val="bullet"/>
      <w:lvlText w:val=""/>
      <w:lvlJc w:val="left"/>
      <w:pPr>
        <w:tabs>
          <w:tab w:val="num" w:pos="2160"/>
        </w:tabs>
        <w:ind w:left="2160" w:hanging="360"/>
      </w:pPr>
      <w:rPr>
        <w:rFonts w:ascii="Wingdings" w:hAnsi="Wingdings" w:hint="default"/>
      </w:rPr>
    </w:lvl>
    <w:lvl w:ilvl="3" w:tplc="FE7EECB6" w:tentative="1">
      <w:start w:val="1"/>
      <w:numFmt w:val="bullet"/>
      <w:lvlText w:val=""/>
      <w:lvlJc w:val="left"/>
      <w:pPr>
        <w:tabs>
          <w:tab w:val="num" w:pos="2880"/>
        </w:tabs>
        <w:ind w:left="2880" w:hanging="360"/>
      </w:pPr>
      <w:rPr>
        <w:rFonts w:ascii="Wingdings" w:hAnsi="Wingdings" w:hint="default"/>
      </w:rPr>
    </w:lvl>
    <w:lvl w:ilvl="4" w:tplc="C7DAB348" w:tentative="1">
      <w:start w:val="1"/>
      <w:numFmt w:val="bullet"/>
      <w:lvlText w:val=""/>
      <w:lvlJc w:val="left"/>
      <w:pPr>
        <w:tabs>
          <w:tab w:val="num" w:pos="3600"/>
        </w:tabs>
        <w:ind w:left="3600" w:hanging="360"/>
      </w:pPr>
      <w:rPr>
        <w:rFonts w:ascii="Wingdings" w:hAnsi="Wingdings" w:hint="default"/>
      </w:rPr>
    </w:lvl>
    <w:lvl w:ilvl="5" w:tplc="72DCF3B4" w:tentative="1">
      <w:start w:val="1"/>
      <w:numFmt w:val="bullet"/>
      <w:lvlText w:val=""/>
      <w:lvlJc w:val="left"/>
      <w:pPr>
        <w:tabs>
          <w:tab w:val="num" w:pos="4320"/>
        </w:tabs>
        <w:ind w:left="4320" w:hanging="360"/>
      </w:pPr>
      <w:rPr>
        <w:rFonts w:ascii="Wingdings" w:hAnsi="Wingdings" w:hint="default"/>
      </w:rPr>
    </w:lvl>
    <w:lvl w:ilvl="6" w:tplc="FFF4DA2A" w:tentative="1">
      <w:start w:val="1"/>
      <w:numFmt w:val="bullet"/>
      <w:lvlText w:val=""/>
      <w:lvlJc w:val="left"/>
      <w:pPr>
        <w:tabs>
          <w:tab w:val="num" w:pos="5040"/>
        </w:tabs>
        <w:ind w:left="5040" w:hanging="360"/>
      </w:pPr>
      <w:rPr>
        <w:rFonts w:ascii="Wingdings" w:hAnsi="Wingdings" w:hint="default"/>
      </w:rPr>
    </w:lvl>
    <w:lvl w:ilvl="7" w:tplc="18C46132" w:tentative="1">
      <w:start w:val="1"/>
      <w:numFmt w:val="bullet"/>
      <w:lvlText w:val=""/>
      <w:lvlJc w:val="left"/>
      <w:pPr>
        <w:tabs>
          <w:tab w:val="num" w:pos="5760"/>
        </w:tabs>
        <w:ind w:left="5760" w:hanging="360"/>
      </w:pPr>
      <w:rPr>
        <w:rFonts w:ascii="Wingdings" w:hAnsi="Wingdings" w:hint="default"/>
      </w:rPr>
    </w:lvl>
    <w:lvl w:ilvl="8" w:tplc="50E276E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6534A5E"/>
    <w:multiLevelType w:val="hybridMultilevel"/>
    <w:tmpl w:val="C7E8AE20"/>
    <w:lvl w:ilvl="0" w:tplc="0C7A1186">
      <w:start w:val="1"/>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7E166296"/>
    <w:multiLevelType w:val="hybridMultilevel"/>
    <w:tmpl w:val="A50A0FA2"/>
    <w:lvl w:ilvl="0" w:tplc="282EC6DC">
      <w:start w:val="1"/>
      <w:numFmt w:val="decimal"/>
      <w:lvlText w:val="[%1]"/>
      <w:lvlJc w:val="left"/>
      <w:pPr>
        <w:ind w:left="360" w:hanging="360"/>
      </w:pPr>
      <w:rPr>
        <w:rFonts w:hint="default"/>
      </w:rPr>
    </w:lvl>
    <w:lvl w:ilvl="1" w:tplc="F64A3D36">
      <w:start w:val="1"/>
      <w:numFmt w:val="upp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0"/>
  </w:num>
  <w:num w:numId="8">
    <w:abstractNumId w:val="8"/>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100"/>
  <w:drawingGridVerticalSpacing w:val="0"/>
  <w:displayHorizontalDrawingGridEvery w:val="0"/>
  <w:displayVerticalDrawingGridEvery w:val="0"/>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2D7"/>
    <w:rsid w:val="00006D28"/>
    <w:rsid w:val="00016C60"/>
    <w:rsid w:val="000334C0"/>
    <w:rsid w:val="000551EB"/>
    <w:rsid w:val="0008478E"/>
    <w:rsid w:val="000909A4"/>
    <w:rsid w:val="00090F66"/>
    <w:rsid w:val="00092B52"/>
    <w:rsid w:val="000A1397"/>
    <w:rsid w:val="000F6FF0"/>
    <w:rsid w:val="001611D6"/>
    <w:rsid w:val="001965AF"/>
    <w:rsid w:val="001A1321"/>
    <w:rsid w:val="001F0D66"/>
    <w:rsid w:val="00227F35"/>
    <w:rsid w:val="00231136"/>
    <w:rsid w:val="00237F10"/>
    <w:rsid w:val="002C60BB"/>
    <w:rsid w:val="002F4DA0"/>
    <w:rsid w:val="00315A5D"/>
    <w:rsid w:val="003165B7"/>
    <w:rsid w:val="00324A8C"/>
    <w:rsid w:val="003659F6"/>
    <w:rsid w:val="0037519A"/>
    <w:rsid w:val="00384A58"/>
    <w:rsid w:val="003867C1"/>
    <w:rsid w:val="003A4DBC"/>
    <w:rsid w:val="003B49B2"/>
    <w:rsid w:val="003C5B4F"/>
    <w:rsid w:val="00404997"/>
    <w:rsid w:val="00422153"/>
    <w:rsid w:val="00426065"/>
    <w:rsid w:val="00426691"/>
    <w:rsid w:val="00437460"/>
    <w:rsid w:val="00440668"/>
    <w:rsid w:val="0048617F"/>
    <w:rsid w:val="004959E9"/>
    <w:rsid w:val="004B0F55"/>
    <w:rsid w:val="004C32D7"/>
    <w:rsid w:val="00515B09"/>
    <w:rsid w:val="00541F15"/>
    <w:rsid w:val="00580A4A"/>
    <w:rsid w:val="00582298"/>
    <w:rsid w:val="00594FA0"/>
    <w:rsid w:val="005A173D"/>
    <w:rsid w:val="005E1EA1"/>
    <w:rsid w:val="005E35DE"/>
    <w:rsid w:val="00602C71"/>
    <w:rsid w:val="006112BB"/>
    <w:rsid w:val="0063041E"/>
    <w:rsid w:val="00655E23"/>
    <w:rsid w:val="00655F3C"/>
    <w:rsid w:val="00682140"/>
    <w:rsid w:val="00692375"/>
    <w:rsid w:val="00692A38"/>
    <w:rsid w:val="006C0A2C"/>
    <w:rsid w:val="006C5DAA"/>
    <w:rsid w:val="0070086A"/>
    <w:rsid w:val="007079C8"/>
    <w:rsid w:val="00737E30"/>
    <w:rsid w:val="00744FBA"/>
    <w:rsid w:val="00782518"/>
    <w:rsid w:val="007D452E"/>
    <w:rsid w:val="007D522D"/>
    <w:rsid w:val="007E4755"/>
    <w:rsid w:val="008572F1"/>
    <w:rsid w:val="00860DA1"/>
    <w:rsid w:val="00872542"/>
    <w:rsid w:val="00883331"/>
    <w:rsid w:val="008C48BD"/>
    <w:rsid w:val="008D547A"/>
    <w:rsid w:val="00905B07"/>
    <w:rsid w:val="00923A61"/>
    <w:rsid w:val="00947495"/>
    <w:rsid w:val="00962AC7"/>
    <w:rsid w:val="00991FA3"/>
    <w:rsid w:val="009A4384"/>
    <w:rsid w:val="009E0DB6"/>
    <w:rsid w:val="00A071CD"/>
    <w:rsid w:val="00A1438C"/>
    <w:rsid w:val="00A74A9A"/>
    <w:rsid w:val="00A9368B"/>
    <w:rsid w:val="00A96917"/>
    <w:rsid w:val="00B2063E"/>
    <w:rsid w:val="00B2483C"/>
    <w:rsid w:val="00B44AEB"/>
    <w:rsid w:val="00B50533"/>
    <w:rsid w:val="00B51093"/>
    <w:rsid w:val="00B82EDE"/>
    <w:rsid w:val="00BA620B"/>
    <w:rsid w:val="00BB246A"/>
    <w:rsid w:val="00BD67B6"/>
    <w:rsid w:val="00C020F5"/>
    <w:rsid w:val="00C03BCA"/>
    <w:rsid w:val="00C15795"/>
    <w:rsid w:val="00C23B92"/>
    <w:rsid w:val="00C26B91"/>
    <w:rsid w:val="00C32C53"/>
    <w:rsid w:val="00C62F4C"/>
    <w:rsid w:val="00C804AA"/>
    <w:rsid w:val="00C86848"/>
    <w:rsid w:val="00C9534D"/>
    <w:rsid w:val="00C9681C"/>
    <w:rsid w:val="00D00EC6"/>
    <w:rsid w:val="00D21527"/>
    <w:rsid w:val="00D26A36"/>
    <w:rsid w:val="00D71D91"/>
    <w:rsid w:val="00D836FA"/>
    <w:rsid w:val="00DA1C9C"/>
    <w:rsid w:val="00E12EBA"/>
    <w:rsid w:val="00EF683D"/>
    <w:rsid w:val="00F01058"/>
    <w:rsid w:val="00F06556"/>
    <w:rsid w:val="00F219F1"/>
    <w:rsid w:val="00F2713B"/>
    <w:rsid w:val="00F350F9"/>
    <w:rsid w:val="00F4168E"/>
    <w:rsid w:val="00FB1E65"/>
    <w:rsid w:val="00FE1469"/>
    <w:rsid w:val="00FE439F"/>
    <w:rsid w:val="00FE5D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oNotEmbedSmartTags/>
  <w:decimalSymbol w:val="."/>
  <w:listSeparator w:val=","/>
  <w14:docId w14:val="4AC533E6"/>
  <w15:docId w15:val="{3E9DE7EF-D545-41BB-8DB9-6735257FB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2AC7"/>
    <w:pPr>
      <w:suppressAutoHyphens/>
      <w:jc w:val="center"/>
    </w:pPr>
    <w:rPr>
      <w:rFonts w:eastAsia="SimSun"/>
      <w:lang w:eastAsia="zh-CN"/>
    </w:rPr>
  </w:style>
  <w:style w:type="paragraph" w:styleId="Heading1">
    <w:name w:val="heading 1"/>
    <w:basedOn w:val="Normal"/>
    <w:next w:val="BodyText"/>
    <w:qFormat/>
    <w:rsid w:val="00692375"/>
    <w:pPr>
      <w:keepNext/>
      <w:keepLines/>
      <w:tabs>
        <w:tab w:val="num" w:pos="0"/>
        <w:tab w:val="left" w:pos="216"/>
        <w:tab w:val="left" w:pos="283"/>
        <w:tab w:val="left" w:pos="340"/>
        <w:tab w:val="left" w:pos="397"/>
      </w:tabs>
      <w:spacing w:before="160" w:after="80"/>
      <w:ind w:firstLine="216"/>
      <w:outlineLvl w:val="0"/>
    </w:pPr>
    <w:rPr>
      <w:smallCaps/>
      <w:lang w:eastAsia="en-US"/>
    </w:rPr>
  </w:style>
  <w:style w:type="paragraph" w:styleId="Heading2">
    <w:name w:val="heading 2"/>
    <w:basedOn w:val="Normal"/>
    <w:next w:val="BodyText"/>
    <w:qFormat/>
    <w:rsid w:val="00692375"/>
    <w:pPr>
      <w:keepNext/>
      <w:keepLines/>
      <w:tabs>
        <w:tab w:val="num" w:pos="227"/>
      </w:tabs>
      <w:spacing w:before="120" w:after="60"/>
      <w:ind w:left="288" w:hanging="288"/>
      <w:jc w:val="left"/>
      <w:outlineLvl w:val="1"/>
    </w:pPr>
    <w:rPr>
      <w:i/>
      <w:iCs/>
      <w:lang w:eastAsia="en-US"/>
    </w:rPr>
  </w:style>
  <w:style w:type="paragraph" w:styleId="Heading3">
    <w:name w:val="heading 3"/>
    <w:basedOn w:val="Normal"/>
    <w:next w:val="BodyText"/>
    <w:qFormat/>
    <w:rsid w:val="00692375"/>
    <w:pPr>
      <w:tabs>
        <w:tab w:val="num" w:pos="425"/>
        <w:tab w:val="left" w:pos="540"/>
      </w:tabs>
      <w:spacing w:line="240" w:lineRule="exact"/>
      <w:ind w:firstLine="180"/>
      <w:jc w:val="both"/>
      <w:outlineLvl w:val="2"/>
    </w:pPr>
    <w:rPr>
      <w:i/>
      <w:iCs/>
      <w:lang w:eastAsia="en-US"/>
    </w:rPr>
  </w:style>
  <w:style w:type="paragraph" w:styleId="Heading4">
    <w:name w:val="heading 4"/>
    <w:basedOn w:val="Normal"/>
    <w:next w:val="BodyText"/>
    <w:qFormat/>
    <w:rsid w:val="00692375"/>
    <w:pPr>
      <w:tabs>
        <w:tab w:val="num" w:pos="630"/>
        <w:tab w:val="left" w:pos="720"/>
      </w:tabs>
      <w:spacing w:before="40" w:after="40"/>
      <w:ind w:firstLine="360"/>
      <w:jc w:val="both"/>
      <w:outlineLvl w:val="3"/>
    </w:pPr>
    <w:rPr>
      <w:i/>
      <w:iCs/>
      <w:lang w:eastAsia="en-US"/>
    </w:rPr>
  </w:style>
  <w:style w:type="paragraph" w:styleId="Heading5">
    <w:name w:val="heading 5"/>
    <w:basedOn w:val="Normal"/>
    <w:next w:val="BodyText"/>
    <w:qFormat/>
    <w:rsid w:val="00692375"/>
    <w:pPr>
      <w:tabs>
        <w:tab w:val="left" w:pos="360"/>
      </w:tabs>
      <w:spacing w:before="160" w:after="80"/>
      <w:outlineLvl w:val="4"/>
    </w:pPr>
    <w:rPr>
      <w:smallCap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692375"/>
    <w:rPr>
      <w:rFonts w:cs="Times New Roman"/>
      <w:i w:val="0"/>
      <w:iCs w:val="0"/>
    </w:rPr>
  </w:style>
  <w:style w:type="character" w:customStyle="1" w:styleId="WW8Num1z1">
    <w:name w:val="WW8Num1z1"/>
    <w:rsid w:val="00692375"/>
    <w:rPr>
      <w:rFonts w:cs="Times New Roman"/>
    </w:rPr>
  </w:style>
  <w:style w:type="character" w:customStyle="1" w:styleId="WW8Num1z3">
    <w:name w:val="WW8Num1z3"/>
    <w:rsid w:val="00692375"/>
    <w:rPr>
      <w:rFonts w:ascii="Times New Roman" w:hAnsi="Times New Roman" w:cs="Times New Roman"/>
      <w:b w:val="0"/>
      <w:bCs w:val="0"/>
      <w:i/>
      <w:iCs/>
      <w:sz w:val="20"/>
      <w:szCs w:val="20"/>
    </w:rPr>
  </w:style>
  <w:style w:type="character" w:customStyle="1" w:styleId="WW8Num2z0">
    <w:name w:val="WW8Num2z0"/>
    <w:rsid w:val="00692375"/>
    <w:rPr>
      <w:rFonts w:ascii="Times New Roman" w:hAnsi="Times New Roman" w:cs="Times New Roman"/>
      <w:b w:val="0"/>
      <w:bCs w:val="0"/>
      <w:i w:val="0"/>
      <w:iCs w:val="0"/>
      <w:caps w:val="0"/>
      <w:small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692375"/>
    <w:rPr>
      <w:rFonts w:ascii="Symbol" w:hAnsi="Symbol" w:cs="Symbol"/>
    </w:rPr>
  </w:style>
  <w:style w:type="character" w:customStyle="1" w:styleId="WW8Num4z0">
    <w:name w:val="WW8Num4z0"/>
    <w:rsid w:val="00692375"/>
    <w:rPr>
      <w:rFonts w:cs="Times New Roman"/>
    </w:rPr>
  </w:style>
  <w:style w:type="character" w:customStyle="1" w:styleId="WW8Num5z0">
    <w:name w:val="WW8Num5z0"/>
    <w:rsid w:val="00692375"/>
    <w:rPr>
      <w:rFonts w:ascii="Times New Roman" w:hAnsi="Times New Roman" w:cs="Times New Roman"/>
      <w:caps w:val="0"/>
      <w:smallCaps w:val="0"/>
      <w:strike w:val="0"/>
      <w:dstrike w:val="0"/>
      <w:vanish w:val="0"/>
      <w:color w:val="auto"/>
      <w:position w:val="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z0">
    <w:name w:val="WW8Num6z0"/>
    <w:rsid w:val="00692375"/>
    <w:rPr>
      <w:rFonts w:ascii="Times New Roman" w:hAnsi="Times New Roman" w:cs="Times New Roman"/>
      <w:b w:val="0"/>
      <w:bCs w:val="0"/>
      <w:i w:val="0"/>
      <w:iCs w:val="0"/>
      <w:sz w:val="16"/>
      <w:szCs w:val="16"/>
    </w:rPr>
  </w:style>
  <w:style w:type="character" w:customStyle="1" w:styleId="Absatz-Standardschriftart">
    <w:name w:val="Absatz-Standardschriftart"/>
    <w:rsid w:val="00692375"/>
  </w:style>
  <w:style w:type="character" w:customStyle="1" w:styleId="WW8Num7z0">
    <w:name w:val="WW8Num7z0"/>
    <w:rsid w:val="00692375"/>
    <w:rPr>
      <w:rFonts w:ascii="Times New Roman" w:hAnsi="Times New Roman" w:cs="Times New Roman"/>
      <w:b w:val="0"/>
      <w:bCs w:val="0"/>
      <w:i w:val="0"/>
      <w:iCs w:val="0"/>
      <w:color w:val="auto"/>
      <w:sz w:val="16"/>
      <w:szCs w:val="16"/>
    </w:rPr>
  </w:style>
  <w:style w:type="character" w:customStyle="1" w:styleId="WW-DefaultParagraphFont">
    <w:name w:val="WW-Default Paragraph Font"/>
    <w:rsid w:val="00692375"/>
  </w:style>
  <w:style w:type="character" w:customStyle="1" w:styleId="WW-Absatz-Standardschriftart">
    <w:name w:val="WW-Absatz-Standardschriftart"/>
    <w:rsid w:val="00692375"/>
  </w:style>
  <w:style w:type="character" w:customStyle="1" w:styleId="WW-Absatz-Standardschriftart1">
    <w:name w:val="WW-Absatz-Standardschriftart1"/>
    <w:rsid w:val="00692375"/>
  </w:style>
  <w:style w:type="character" w:customStyle="1" w:styleId="WW-Absatz-Standardschriftart11">
    <w:name w:val="WW-Absatz-Standardschriftart11"/>
    <w:rsid w:val="00692375"/>
  </w:style>
  <w:style w:type="character" w:customStyle="1" w:styleId="WW-Absatz-Standardschriftart111">
    <w:name w:val="WW-Absatz-Standardschriftart111"/>
    <w:rsid w:val="00692375"/>
  </w:style>
  <w:style w:type="character" w:customStyle="1" w:styleId="WW-Absatz-Standardschriftart1111">
    <w:name w:val="WW-Absatz-Standardschriftart1111"/>
    <w:rsid w:val="00692375"/>
  </w:style>
  <w:style w:type="character" w:customStyle="1" w:styleId="WW-Absatz-Standardschriftart11111">
    <w:name w:val="WW-Absatz-Standardschriftart11111"/>
    <w:rsid w:val="00692375"/>
  </w:style>
  <w:style w:type="character" w:customStyle="1" w:styleId="WW-Absatz-Standardschriftart111111">
    <w:name w:val="WW-Absatz-Standardschriftart111111"/>
    <w:rsid w:val="00692375"/>
  </w:style>
  <w:style w:type="character" w:customStyle="1" w:styleId="WW-Absatz-Standardschriftart1111111">
    <w:name w:val="WW-Absatz-Standardschriftart1111111"/>
    <w:rsid w:val="00692375"/>
  </w:style>
  <w:style w:type="character" w:customStyle="1" w:styleId="WW8Num1z4">
    <w:name w:val="WW8Num1z4"/>
    <w:rsid w:val="00692375"/>
    <w:rPr>
      <w:rFonts w:cs="Times New Roman"/>
    </w:rPr>
  </w:style>
  <w:style w:type="character" w:customStyle="1" w:styleId="WW-Absatz-Standardschriftart11111111">
    <w:name w:val="WW-Absatz-Standardschriftart11111111"/>
    <w:rsid w:val="00692375"/>
  </w:style>
  <w:style w:type="character" w:customStyle="1" w:styleId="WW8Num2z1">
    <w:name w:val="WW8Num2z1"/>
    <w:rsid w:val="00692375"/>
    <w:rPr>
      <w:rFonts w:cs="Times New Roman"/>
    </w:rPr>
  </w:style>
  <w:style w:type="character" w:customStyle="1" w:styleId="WW8Num3z1">
    <w:name w:val="WW8Num3z1"/>
    <w:rsid w:val="00692375"/>
    <w:rPr>
      <w:rFonts w:ascii="Courier New" w:hAnsi="Courier New" w:cs="Courier New"/>
    </w:rPr>
  </w:style>
  <w:style w:type="character" w:customStyle="1" w:styleId="WW8Num3z2">
    <w:name w:val="WW8Num3z2"/>
    <w:rsid w:val="00692375"/>
    <w:rPr>
      <w:rFonts w:ascii="Wingdings" w:hAnsi="Wingdings" w:cs="Wingdings"/>
    </w:rPr>
  </w:style>
  <w:style w:type="character" w:customStyle="1" w:styleId="WW8Num5z1">
    <w:name w:val="WW8Num5z1"/>
    <w:rsid w:val="00692375"/>
    <w:rPr>
      <w:rFonts w:ascii="Times New Roman" w:hAnsi="Times New Roman" w:cs="Times New Roman"/>
      <w:b w:val="0"/>
      <w:bCs w:val="0"/>
      <w:i/>
      <w:iCs/>
      <w:caps w:val="0"/>
      <w:smallCaps w:val="0"/>
      <w:strike w:val="0"/>
      <w:dstrike w:val="0"/>
      <w:vanish w:val="0"/>
      <w:color w:val="auto"/>
      <w:position w:val="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z3">
    <w:name w:val="WW8Num5z3"/>
    <w:rsid w:val="00692375"/>
    <w:rPr>
      <w:rFonts w:ascii="Times New Roman" w:hAnsi="Times New Roman" w:cs="Times New Roman"/>
      <w:b w:val="0"/>
      <w:bCs w:val="0"/>
      <w:i/>
      <w:iCs/>
      <w:sz w:val="20"/>
      <w:szCs w:val="20"/>
    </w:rPr>
  </w:style>
  <w:style w:type="character" w:customStyle="1" w:styleId="WW8Num5z4">
    <w:name w:val="WW8Num5z4"/>
    <w:rsid w:val="00692375"/>
    <w:rPr>
      <w:rFonts w:cs="Times New Roman"/>
    </w:rPr>
  </w:style>
  <w:style w:type="character" w:customStyle="1" w:styleId="WW8Num7z1">
    <w:name w:val="WW8Num7z1"/>
    <w:rsid w:val="00692375"/>
    <w:rPr>
      <w:rFonts w:cs="Times New Roman"/>
    </w:rPr>
  </w:style>
  <w:style w:type="character" w:customStyle="1" w:styleId="WW8Num8z0">
    <w:name w:val="WW8Num8z0"/>
    <w:rsid w:val="00692375"/>
    <w:rPr>
      <w:rFonts w:ascii="Times New Roman" w:hAnsi="Times New Roman" w:cs="Times New Roman"/>
      <w:b w:val="0"/>
      <w:bCs w:val="0"/>
      <w:i w:val="0"/>
      <w:iCs w:val="0"/>
      <w:sz w:val="16"/>
      <w:szCs w:val="16"/>
    </w:rPr>
  </w:style>
  <w:style w:type="character" w:customStyle="1" w:styleId="WW-DefaultParagraphFont1">
    <w:name w:val="WW-Default Paragraph Font1"/>
    <w:rsid w:val="00692375"/>
  </w:style>
  <w:style w:type="paragraph" w:customStyle="1" w:styleId="Heading">
    <w:name w:val="Heading"/>
    <w:basedOn w:val="Normal"/>
    <w:next w:val="BodyText"/>
    <w:rsid w:val="00692375"/>
    <w:pPr>
      <w:keepNext/>
      <w:spacing w:before="240" w:after="120"/>
    </w:pPr>
    <w:rPr>
      <w:rFonts w:ascii="Arial" w:eastAsia="DejaVu Sans" w:hAnsi="Arial" w:cs="Lohit Hindi"/>
      <w:sz w:val="28"/>
      <w:szCs w:val="28"/>
    </w:rPr>
  </w:style>
  <w:style w:type="paragraph" w:styleId="BodyText">
    <w:name w:val="Body Text"/>
    <w:basedOn w:val="Normal"/>
    <w:rsid w:val="00692375"/>
    <w:pPr>
      <w:spacing w:after="6"/>
      <w:ind w:firstLine="288"/>
      <w:jc w:val="both"/>
    </w:pPr>
    <w:rPr>
      <w:spacing w:val="-1"/>
    </w:rPr>
  </w:style>
  <w:style w:type="paragraph" w:styleId="List">
    <w:name w:val="List"/>
    <w:basedOn w:val="BodyText"/>
    <w:rsid w:val="00692375"/>
    <w:rPr>
      <w:rFonts w:cs="Lohit Hindi"/>
    </w:rPr>
  </w:style>
  <w:style w:type="paragraph" w:styleId="Caption">
    <w:name w:val="caption"/>
    <w:basedOn w:val="Normal"/>
    <w:qFormat/>
    <w:rsid w:val="00692375"/>
    <w:pPr>
      <w:suppressLineNumbers/>
      <w:spacing w:before="120" w:after="120"/>
    </w:pPr>
    <w:rPr>
      <w:rFonts w:cs="Lohit Hindi"/>
      <w:i/>
      <w:iCs/>
      <w:sz w:val="24"/>
      <w:szCs w:val="24"/>
    </w:rPr>
  </w:style>
  <w:style w:type="paragraph" w:customStyle="1" w:styleId="Index">
    <w:name w:val="Index"/>
    <w:basedOn w:val="Normal"/>
    <w:rsid w:val="00692375"/>
    <w:pPr>
      <w:suppressLineNumbers/>
    </w:pPr>
    <w:rPr>
      <w:rFonts w:cs="Lohit Hindi"/>
    </w:rPr>
  </w:style>
  <w:style w:type="paragraph" w:customStyle="1" w:styleId="Abstract">
    <w:name w:val="Abstract"/>
    <w:rsid w:val="00692375"/>
    <w:pPr>
      <w:suppressAutoHyphens/>
      <w:spacing w:after="200"/>
      <w:ind w:firstLine="170"/>
      <w:jc w:val="both"/>
    </w:pPr>
    <w:rPr>
      <w:rFonts w:eastAsia="SimSun"/>
      <w:b/>
      <w:bCs/>
      <w:sz w:val="18"/>
      <w:szCs w:val="18"/>
      <w:lang w:eastAsia="zh-CN"/>
    </w:rPr>
  </w:style>
  <w:style w:type="paragraph" w:customStyle="1" w:styleId="Affiliation">
    <w:name w:val="Affiliation"/>
    <w:rsid w:val="00692375"/>
    <w:pPr>
      <w:suppressAutoHyphens/>
      <w:jc w:val="center"/>
    </w:pPr>
    <w:rPr>
      <w:rFonts w:eastAsia="SimSun"/>
      <w:lang w:eastAsia="zh-CN"/>
    </w:rPr>
  </w:style>
  <w:style w:type="paragraph" w:customStyle="1" w:styleId="Author">
    <w:name w:val="Author"/>
    <w:rsid w:val="00692375"/>
    <w:pPr>
      <w:suppressAutoHyphens/>
      <w:spacing w:before="360" w:after="40"/>
      <w:jc w:val="center"/>
    </w:pPr>
    <w:rPr>
      <w:rFonts w:eastAsia="SimSun"/>
      <w:sz w:val="22"/>
      <w:szCs w:val="22"/>
    </w:rPr>
  </w:style>
  <w:style w:type="paragraph" w:customStyle="1" w:styleId="bulletlist">
    <w:name w:val="bullet list"/>
    <w:basedOn w:val="BodyText"/>
    <w:rsid w:val="00692375"/>
    <w:pPr>
      <w:tabs>
        <w:tab w:val="left" w:pos="648"/>
      </w:tabs>
      <w:ind w:left="648" w:hanging="360"/>
    </w:pPr>
  </w:style>
  <w:style w:type="paragraph" w:customStyle="1" w:styleId="equation">
    <w:name w:val="equation"/>
    <w:basedOn w:val="Normal"/>
    <w:rsid w:val="00692375"/>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692375"/>
    <w:pPr>
      <w:tabs>
        <w:tab w:val="num" w:pos="0"/>
      </w:tabs>
      <w:suppressAutoHyphens/>
      <w:spacing w:before="80" w:after="200"/>
      <w:ind w:left="360" w:hanging="360"/>
      <w:jc w:val="center"/>
    </w:pPr>
    <w:rPr>
      <w:rFonts w:eastAsia="SimSun"/>
      <w:sz w:val="16"/>
      <w:szCs w:val="16"/>
    </w:rPr>
  </w:style>
  <w:style w:type="paragraph" w:customStyle="1" w:styleId="footnote">
    <w:name w:val="footnote"/>
    <w:rsid w:val="00692375"/>
    <w:pPr>
      <w:tabs>
        <w:tab w:val="left" w:pos="648"/>
      </w:tabs>
      <w:suppressAutoHyphens/>
      <w:spacing w:after="40"/>
      <w:ind w:firstLine="288"/>
    </w:pPr>
    <w:rPr>
      <w:rFonts w:eastAsia="SimSun"/>
      <w:sz w:val="16"/>
      <w:szCs w:val="16"/>
      <w:lang w:eastAsia="zh-CN"/>
    </w:rPr>
  </w:style>
  <w:style w:type="paragraph" w:customStyle="1" w:styleId="keywords">
    <w:name w:val="key words"/>
    <w:rsid w:val="00692375"/>
    <w:pPr>
      <w:suppressAutoHyphens/>
      <w:spacing w:after="120"/>
      <w:ind w:firstLine="288"/>
      <w:jc w:val="both"/>
    </w:pPr>
    <w:rPr>
      <w:rFonts w:eastAsia="SimSun"/>
      <w:b/>
      <w:bCs/>
      <w:iCs/>
      <w:sz w:val="18"/>
      <w:szCs w:val="18"/>
    </w:rPr>
  </w:style>
  <w:style w:type="paragraph" w:customStyle="1" w:styleId="papersubtitle">
    <w:name w:val="paper subtitle"/>
    <w:rsid w:val="00692375"/>
    <w:pPr>
      <w:suppressAutoHyphens/>
      <w:spacing w:after="120"/>
      <w:jc w:val="center"/>
    </w:pPr>
    <w:rPr>
      <w:rFonts w:eastAsia="MS Mincho"/>
      <w:sz w:val="28"/>
      <w:szCs w:val="28"/>
    </w:rPr>
  </w:style>
  <w:style w:type="paragraph" w:customStyle="1" w:styleId="papertitle">
    <w:name w:val="paper title"/>
    <w:rsid w:val="00692375"/>
    <w:pPr>
      <w:suppressAutoHyphens/>
      <w:spacing w:after="120"/>
      <w:jc w:val="center"/>
    </w:pPr>
    <w:rPr>
      <w:rFonts w:eastAsia="MS Mincho"/>
      <w:sz w:val="48"/>
      <w:szCs w:val="48"/>
    </w:rPr>
  </w:style>
  <w:style w:type="paragraph" w:customStyle="1" w:styleId="references">
    <w:name w:val="references"/>
    <w:rsid w:val="00692375"/>
    <w:pPr>
      <w:tabs>
        <w:tab w:val="num" w:pos="360"/>
      </w:tabs>
      <w:suppressAutoHyphens/>
      <w:spacing w:after="50" w:line="180" w:lineRule="atLeast"/>
      <w:ind w:left="360" w:hanging="360"/>
      <w:jc w:val="both"/>
    </w:pPr>
    <w:rPr>
      <w:rFonts w:eastAsia="MS Mincho"/>
      <w:sz w:val="18"/>
      <w:szCs w:val="16"/>
    </w:rPr>
  </w:style>
  <w:style w:type="paragraph" w:customStyle="1" w:styleId="sponsors">
    <w:name w:val="sponsors"/>
    <w:rsid w:val="00692375"/>
    <w:pPr>
      <w:pBdr>
        <w:top w:val="single" w:sz="4" w:space="2" w:color="000000"/>
      </w:pBdr>
      <w:suppressAutoHyphens/>
      <w:ind w:firstLine="288"/>
    </w:pPr>
    <w:rPr>
      <w:rFonts w:eastAsia="SimSun"/>
      <w:sz w:val="16"/>
      <w:szCs w:val="16"/>
      <w:lang w:eastAsia="zh-CN"/>
    </w:rPr>
  </w:style>
  <w:style w:type="paragraph" w:customStyle="1" w:styleId="tablecolhead">
    <w:name w:val="table col head"/>
    <w:basedOn w:val="Normal"/>
    <w:rsid w:val="00692375"/>
    <w:rPr>
      <w:b/>
      <w:bCs/>
      <w:sz w:val="16"/>
      <w:szCs w:val="16"/>
    </w:rPr>
  </w:style>
  <w:style w:type="paragraph" w:customStyle="1" w:styleId="tablecolsubhead">
    <w:name w:val="table col subhead"/>
    <w:basedOn w:val="tablecolhead"/>
    <w:rsid w:val="00692375"/>
    <w:rPr>
      <w:i/>
      <w:iCs/>
      <w:sz w:val="15"/>
      <w:szCs w:val="15"/>
    </w:rPr>
  </w:style>
  <w:style w:type="paragraph" w:customStyle="1" w:styleId="tablecopy">
    <w:name w:val="table copy"/>
    <w:rsid w:val="00692375"/>
    <w:pPr>
      <w:suppressAutoHyphens/>
      <w:jc w:val="both"/>
    </w:pPr>
    <w:rPr>
      <w:rFonts w:eastAsia="SimSun"/>
      <w:sz w:val="16"/>
      <w:szCs w:val="16"/>
    </w:rPr>
  </w:style>
  <w:style w:type="paragraph" w:customStyle="1" w:styleId="tablefootnote">
    <w:name w:val="table footnote"/>
    <w:rsid w:val="00692375"/>
    <w:pPr>
      <w:suppressAutoHyphens/>
      <w:spacing w:before="60" w:after="30"/>
      <w:jc w:val="right"/>
    </w:pPr>
    <w:rPr>
      <w:rFonts w:eastAsia="SimSun"/>
      <w:sz w:val="12"/>
      <w:szCs w:val="12"/>
      <w:lang w:eastAsia="zh-CN"/>
    </w:rPr>
  </w:style>
  <w:style w:type="paragraph" w:customStyle="1" w:styleId="tablehead">
    <w:name w:val="table head"/>
    <w:rsid w:val="00692375"/>
    <w:pPr>
      <w:tabs>
        <w:tab w:val="num" w:pos="0"/>
        <w:tab w:val="left" w:pos="1080"/>
      </w:tabs>
      <w:suppressAutoHyphens/>
      <w:spacing w:before="240" w:after="120" w:line="216" w:lineRule="auto"/>
      <w:jc w:val="center"/>
    </w:pPr>
    <w:rPr>
      <w:rFonts w:eastAsia="SimSun"/>
      <w:smallCaps/>
      <w:sz w:val="16"/>
      <w:szCs w:val="16"/>
    </w:rPr>
  </w:style>
  <w:style w:type="paragraph" w:customStyle="1" w:styleId="Framecontents">
    <w:name w:val="Frame contents"/>
    <w:basedOn w:val="BodyText"/>
    <w:rsid w:val="00692375"/>
  </w:style>
  <w:style w:type="paragraph" w:customStyle="1" w:styleId="TableContents">
    <w:name w:val="Table Contents"/>
    <w:basedOn w:val="Normal"/>
    <w:rsid w:val="00692375"/>
    <w:pPr>
      <w:suppressLineNumbers/>
    </w:pPr>
  </w:style>
  <w:style w:type="paragraph" w:customStyle="1" w:styleId="TableHeading">
    <w:name w:val="Table Heading"/>
    <w:basedOn w:val="TableContents"/>
    <w:rsid w:val="00692375"/>
    <w:rPr>
      <w:b/>
      <w:bCs/>
    </w:rPr>
  </w:style>
  <w:style w:type="character" w:styleId="Hyperlink">
    <w:name w:val="Hyperlink"/>
    <w:basedOn w:val="DefaultParagraphFont"/>
    <w:uiPriority w:val="99"/>
    <w:unhideWhenUsed/>
    <w:rsid w:val="00F4168E"/>
    <w:rPr>
      <w:color w:val="0000FF" w:themeColor="hyperlink"/>
      <w:u w:val="single"/>
    </w:rPr>
  </w:style>
  <w:style w:type="paragraph" w:styleId="Header">
    <w:name w:val="header"/>
    <w:basedOn w:val="Normal"/>
    <w:link w:val="HeaderChar"/>
    <w:uiPriority w:val="99"/>
    <w:unhideWhenUsed/>
    <w:rsid w:val="003C5B4F"/>
    <w:pPr>
      <w:tabs>
        <w:tab w:val="center" w:pos="4680"/>
        <w:tab w:val="right" w:pos="9360"/>
      </w:tabs>
    </w:pPr>
  </w:style>
  <w:style w:type="character" w:customStyle="1" w:styleId="HeaderChar">
    <w:name w:val="Header Char"/>
    <w:basedOn w:val="DefaultParagraphFont"/>
    <w:link w:val="Header"/>
    <w:uiPriority w:val="99"/>
    <w:rsid w:val="003C5B4F"/>
    <w:rPr>
      <w:rFonts w:eastAsia="SimSun"/>
      <w:lang w:eastAsia="zh-CN"/>
    </w:rPr>
  </w:style>
  <w:style w:type="paragraph" w:styleId="Footer">
    <w:name w:val="footer"/>
    <w:basedOn w:val="Normal"/>
    <w:link w:val="FooterChar"/>
    <w:uiPriority w:val="99"/>
    <w:unhideWhenUsed/>
    <w:rsid w:val="003C5B4F"/>
    <w:pPr>
      <w:tabs>
        <w:tab w:val="center" w:pos="4680"/>
        <w:tab w:val="right" w:pos="9360"/>
      </w:tabs>
    </w:pPr>
  </w:style>
  <w:style w:type="character" w:customStyle="1" w:styleId="FooterChar">
    <w:name w:val="Footer Char"/>
    <w:basedOn w:val="DefaultParagraphFont"/>
    <w:link w:val="Footer"/>
    <w:uiPriority w:val="99"/>
    <w:rsid w:val="003C5B4F"/>
    <w:rPr>
      <w:rFonts w:eastAsia="SimSun"/>
      <w:lang w:eastAsia="zh-CN"/>
    </w:rPr>
  </w:style>
  <w:style w:type="character" w:customStyle="1" w:styleId="il">
    <w:name w:val="il"/>
    <w:basedOn w:val="DefaultParagraphFont"/>
    <w:rsid w:val="00A9368B"/>
  </w:style>
  <w:style w:type="paragraph" w:styleId="PlainText">
    <w:name w:val="Plain Text"/>
    <w:basedOn w:val="Normal"/>
    <w:link w:val="PlainTextChar"/>
    <w:uiPriority w:val="99"/>
    <w:unhideWhenUsed/>
    <w:rsid w:val="00C26B91"/>
    <w:pPr>
      <w:suppressAutoHyphens w:val="0"/>
      <w:jc w:val="left"/>
    </w:pPr>
    <w:rPr>
      <w:rFonts w:ascii="Consolas" w:eastAsia="Calibri" w:hAnsi="Consolas"/>
      <w:sz w:val="21"/>
      <w:szCs w:val="21"/>
      <w:lang w:val="en-GB" w:eastAsia="en-US"/>
    </w:rPr>
  </w:style>
  <w:style w:type="character" w:customStyle="1" w:styleId="PlainTextChar">
    <w:name w:val="Plain Text Char"/>
    <w:basedOn w:val="DefaultParagraphFont"/>
    <w:link w:val="PlainText"/>
    <w:uiPriority w:val="99"/>
    <w:rsid w:val="00C26B91"/>
    <w:rPr>
      <w:rFonts w:ascii="Consolas" w:eastAsia="Calibri" w:hAnsi="Consolas"/>
      <w:sz w:val="21"/>
      <w:szCs w:val="21"/>
      <w:lang w:val="en-GB"/>
    </w:rPr>
  </w:style>
  <w:style w:type="paragraph" w:styleId="ListParagraph">
    <w:name w:val="List Paragraph"/>
    <w:basedOn w:val="Normal"/>
    <w:uiPriority w:val="34"/>
    <w:qFormat/>
    <w:rsid w:val="00C26B91"/>
    <w:pPr>
      <w:suppressAutoHyphens w:val="0"/>
      <w:ind w:left="720"/>
      <w:contextualSpacing/>
      <w:jc w:val="left"/>
    </w:pPr>
    <w:rPr>
      <w:rFonts w:eastAsia="Times New Roman"/>
      <w:sz w:val="24"/>
      <w:szCs w:val="24"/>
      <w:lang w:val="en-GB" w:eastAsia="en-GB"/>
    </w:rPr>
  </w:style>
  <w:style w:type="paragraph" w:styleId="BalloonText">
    <w:name w:val="Balloon Text"/>
    <w:basedOn w:val="Normal"/>
    <w:link w:val="BalloonTextChar"/>
    <w:uiPriority w:val="99"/>
    <w:semiHidden/>
    <w:unhideWhenUsed/>
    <w:rsid w:val="00C26B91"/>
    <w:rPr>
      <w:rFonts w:ascii="Tahoma" w:hAnsi="Tahoma" w:cs="Tahoma"/>
      <w:sz w:val="16"/>
      <w:szCs w:val="16"/>
    </w:rPr>
  </w:style>
  <w:style w:type="character" w:customStyle="1" w:styleId="BalloonTextChar">
    <w:name w:val="Balloon Text Char"/>
    <w:basedOn w:val="DefaultParagraphFont"/>
    <w:link w:val="BalloonText"/>
    <w:uiPriority w:val="99"/>
    <w:semiHidden/>
    <w:rsid w:val="00C26B91"/>
    <w:rPr>
      <w:rFonts w:ascii="Tahoma" w:eastAsia="SimSun" w:hAnsi="Tahoma" w:cs="Tahoma"/>
      <w:sz w:val="16"/>
      <w:szCs w:val="16"/>
      <w:lang w:eastAsia="zh-CN"/>
    </w:rPr>
  </w:style>
  <w:style w:type="table" w:styleId="TableGrid">
    <w:name w:val="Table Grid"/>
    <w:basedOn w:val="TableNormal"/>
    <w:uiPriority w:val="59"/>
    <w:rsid w:val="00F010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327443">
      <w:bodyDiv w:val="1"/>
      <w:marLeft w:val="0"/>
      <w:marRight w:val="0"/>
      <w:marTop w:val="0"/>
      <w:marBottom w:val="0"/>
      <w:divBdr>
        <w:top w:val="none" w:sz="0" w:space="0" w:color="auto"/>
        <w:left w:val="none" w:sz="0" w:space="0" w:color="auto"/>
        <w:bottom w:val="none" w:sz="0" w:space="0" w:color="auto"/>
        <w:right w:val="none" w:sz="0" w:space="0" w:color="auto"/>
      </w:divBdr>
    </w:div>
    <w:div w:id="1974367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ijcr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3631</Words>
  <Characters>20703</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IJRTI</vt:lpstr>
    </vt:vector>
  </TitlesOfParts>
  <Company>www.ijrti.org</Company>
  <LinksUpToDate>false</LinksUpToDate>
  <CharactersWithSpaces>24286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IJRTI</dc:title>
  <dc:creator>Hitesh</dc:creator>
  <cp:lastModifiedBy>DM</cp:lastModifiedBy>
  <cp:revision>4</cp:revision>
  <cp:lastPrinted>1900-12-31T18:30:00Z</cp:lastPrinted>
  <dcterms:created xsi:type="dcterms:W3CDTF">2020-02-02T15:23:00Z</dcterms:created>
  <dcterms:modified xsi:type="dcterms:W3CDTF">2026-09-15T08:38:00Z</dcterms:modified>
</cp:coreProperties>
</file>